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142CDC28"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3C2C5D">
        <w:rPr>
          <w:bCs/>
          <w:noProof w:val="0"/>
          <w:sz w:val="24"/>
          <w:szCs w:val="24"/>
        </w:rPr>
        <w:t>2</w:t>
      </w:r>
      <w:r w:rsidRPr="00B266B0">
        <w:rPr>
          <w:bCs/>
          <w:noProof w:val="0"/>
          <w:sz w:val="24"/>
          <w:szCs w:val="24"/>
        </w:rPr>
        <w:tab/>
      </w:r>
      <w:r w:rsidR="00B50369">
        <w:rPr>
          <w:bCs/>
          <w:noProof w:val="0"/>
          <w:sz w:val="24"/>
          <w:szCs w:val="24"/>
        </w:rPr>
        <w:t>R2-2</w:t>
      </w:r>
      <w:r w:rsidR="00035DDB">
        <w:rPr>
          <w:bCs/>
          <w:noProof w:val="0"/>
          <w:sz w:val="24"/>
          <w:szCs w:val="24"/>
        </w:rPr>
        <w:t>30</w:t>
      </w:r>
      <w:r w:rsidR="00C14510">
        <w:rPr>
          <w:bCs/>
          <w:noProof w:val="0"/>
          <w:sz w:val="24"/>
          <w:szCs w:val="24"/>
        </w:rPr>
        <w:t>6484</w:t>
      </w:r>
    </w:p>
    <w:p w14:paraId="11776FA6" w14:textId="69C99E7E" w:rsidR="00A209D6" w:rsidRPr="00465587" w:rsidRDefault="003C2C5D" w:rsidP="00A209D6">
      <w:pPr>
        <w:pStyle w:val="Header"/>
        <w:tabs>
          <w:tab w:val="right" w:pos="9639"/>
        </w:tabs>
        <w:rPr>
          <w:bCs/>
          <w:sz w:val="24"/>
          <w:szCs w:val="24"/>
          <w:lang w:eastAsia="zh-CN"/>
        </w:rPr>
      </w:pPr>
      <w:r>
        <w:rPr>
          <w:bCs/>
          <w:sz w:val="24"/>
          <w:szCs w:val="24"/>
          <w:lang w:eastAsia="zh-CN"/>
        </w:rPr>
        <w:t>Incheon, Korea, 22</w:t>
      </w:r>
      <w:r>
        <w:rPr>
          <w:bCs/>
          <w:sz w:val="24"/>
          <w:szCs w:val="24"/>
          <w:vertAlign w:val="superscript"/>
          <w:lang w:eastAsia="zh-CN"/>
        </w:rPr>
        <w:t>nd</w:t>
      </w:r>
      <w:r w:rsidR="004624C7">
        <w:rPr>
          <w:bCs/>
          <w:sz w:val="24"/>
          <w:szCs w:val="24"/>
          <w:lang w:eastAsia="zh-CN"/>
        </w:rPr>
        <w:t xml:space="preserve"> </w:t>
      </w:r>
      <w:r>
        <w:rPr>
          <w:bCs/>
          <w:sz w:val="24"/>
          <w:szCs w:val="24"/>
          <w:lang w:eastAsia="zh-CN"/>
        </w:rPr>
        <w:t>May</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6E401D">
        <w:rPr>
          <w:bCs/>
          <w:sz w:val="24"/>
          <w:szCs w:val="24"/>
          <w:lang w:eastAsia="zh-CN"/>
        </w:rPr>
        <w:t>26</w:t>
      </w:r>
      <w:r w:rsidR="00A76932">
        <w:rPr>
          <w:bCs/>
          <w:sz w:val="24"/>
          <w:szCs w:val="24"/>
          <w:vertAlign w:val="superscript"/>
          <w:lang w:eastAsia="zh-CN"/>
        </w:rPr>
        <w:t>th</w:t>
      </w:r>
      <w:r w:rsidR="004624C7">
        <w:rPr>
          <w:bCs/>
          <w:sz w:val="24"/>
          <w:szCs w:val="24"/>
          <w:lang w:eastAsia="zh-CN"/>
        </w:rPr>
        <w:t xml:space="preserve"> </w:t>
      </w:r>
      <w:r>
        <w:rPr>
          <w:bCs/>
          <w:sz w:val="24"/>
          <w:szCs w:val="24"/>
          <w:lang w:eastAsia="zh-CN"/>
        </w:rPr>
        <w:t>May</w:t>
      </w:r>
      <w:r w:rsidR="00B46E85">
        <w:rPr>
          <w:bCs/>
          <w:sz w:val="24"/>
          <w:szCs w:val="24"/>
          <w:lang w:eastAsia="zh-CN"/>
        </w:rPr>
        <w:t>,</w:t>
      </w:r>
      <w:r w:rsidR="006E1057" w:rsidRPr="006E1057">
        <w:rPr>
          <w:bCs/>
          <w:sz w:val="24"/>
          <w:szCs w:val="24"/>
          <w:lang w:eastAsia="zh-CN"/>
        </w:rPr>
        <w:t xml:space="preserve"> 202</w:t>
      </w:r>
      <w:r w:rsidR="004624C7">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6A3AD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5942" w:rsidRPr="00A82C04">
        <w:rPr>
          <w:rFonts w:cs="Arial"/>
          <w:b/>
          <w:bCs/>
          <w:sz w:val="24"/>
        </w:rPr>
        <w:t>7</w:t>
      </w:r>
      <w:r w:rsidR="00216998" w:rsidRPr="00A82C04">
        <w:rPr>
          <w:rFonts w:cs="Arial"/>
          <w:b/>
          <w:bCs/>
          <w:sz w:val="24"/>
        </w:rPr>
        <w:t>.6.</w:t>
      </w:r>
      <w:r w:rsidR="00A82C04" w:rsidRPr="00A82C04">
        <w:rPr>
          <w:rFonts w:cs="Arial"/>
          <w:b/>
          <w:bCs/>
          <w:sz w:val="24"/>
        </w:rPr>
        <w:t>3.1</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bookmarkStart w:id="0" w:name="_GoBack"/>
      <w:bookmarkEnd w:id="0"/>
    </w:p>
    <w:p w14:paraId="0FA3EF00" w14:textId="59607C2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216998">
        <w:rPr>
          <w:rFonts w:eastAsia="SimSun"/>
          <w:b/>
          <w:bCs/>
          <w:sz w:val="24"/>
          <w:szCs w:val="20"/>
          <w:lang w:val="en-GB" w:eastAsia="en-US"/>
        </w:rPr>
        <w:t>On enhancements for neighbour cell measurements</w:t>
      </w:r>
      <w:r w:rsidR="00830B22" w:rsidRPr="00D64B1C">
        <w:rPr>
          <w:rFonts w:eastAsia="SimSun"/>
          <w:b/>
          <w:bCs/>
          <w:sz w:val="24"/>
          <w:szCs w:val="20"/>
          <w:lang w:val="en-GB" w:eastAsia="en-US"/>
        </w:rPr>
        <w:t xml:space="preserve"> </w:t>
      </w:r>
    </w:p>
    <w:p w14:paraId="1F147C23" w14:textId="2B773B4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6366DF">
        <w:rPr>
          <w:rFonts w:eastAsia="SimSun"/>
          <w:b/>
          <w:bCs/>
          <w:sz w:val="24"/>
          <w:szCs w:val="20"/>
          <w:lang w:val="en-GB" w:eastAsia="en-US"/>
        </w:rPr>
        <w:t>IoT_NTN_enh-Core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77AC0119" w:rsidR="00F61EF6" w:rsidRDefault="00F61EF6" w:rsidP="00F61EF6">
      <w:r>
        <w:t>In RAN#94</w:t>
      </w:r>
      <w:r w:rsidR="002E00B5">
        <w:t>-</w:t>
      </w:r>
      <w:r>
        <w:t>e the WID for Rel-18 IoT NTN was agreed [</w:t>
      </w:r>
      <w:r w:rsidR="00D32165">
        <w:t>1</w:t>
      </w:r>
      <w:r>
        <w:t>] and in RAN#98-e it was updated [</w:t>
      </w:r>
      <w:r w:rsidR="00D32165">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E4724">
        <w:tc>
          <w:tcPr>
            <w:tcW w:w="9631" w:type="dxa"/>
          </w:tcPr>
          <w:p w14:paraId="5A232204" w14:textId="77777777" w:rsidR="00F61EF6" w:rsidRDefault="00F61EF6" w:rsidP="00BE4724">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E4724">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E4724">
            <w:pPr>
              <w:pStyle w:val="B1"/>
              <w:spacing w:after="60"/>
            </w:pPr>
            <w:r>
              <w:t>-</w:t>
            </w:r>
            <w:r>
              <w:tab/>
            </w:r>
            <w:r w:rsidRPr="00F10936">
              <w:t>Disabling of HARQ feedback to mitigate impact of HARQ stalling on UE data rates [RAN1,RAN2]</w:t>
            </w:r>
          </w:p>
          <w:p w14:paraId="59C6EF7D" w14:textId="77777777" w:rsidR="00F61EF6" w:rsidRDefault="00F61EF6" w:rsidP="00BE4724">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FDE6314" w14:textId="77777777" w:rsidR="00F61EF6" w:rsidRPr="006567CA" w:rsidRDefault="00F61EF6" w:rsidP="00BE4724">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E4724">
            <w:pPr>
              <w:pStyle w:val="B1"/>
              <w:spacing w:after="60"/>
              <w:ind w:left="0" w:firstLine="0"/>
            </w:pPr>
          </w:p>
          <w:p w14:paraId="7D311CAA" w14:textId="77777777" w:rsidR="00F61EF6" w:rsidRDefault="00F61EF6" w:rsidP="00BE4724">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E4724">
            <w:pPr>
              <w:spacing w:after="60"/>
            </w:pPr>
            <w:r w:rsidRPr="00756D29">
              <w:t>The following mobility enhancements objectives are listed.</w:t>
            </w:r>
          </w:p>
          <w:p w14:paraId="1F7F1E90" w14:textId="77777777" w:rsidR="00F61EF6" w:rsidRDefault="00F61EF6" w:rsidP="00BE4724">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E4724">
            <w:pPr>
              <w:pStyle w:val="B1"/>
              <w:spacing w:after="60"/>
            </w:pPr>
            <w:r>
              <w:t>-</w:t>
            </w:r>
            <w:r>
              <w:tab/>
              <w:t>Support signalling in system information of neighbour cell ephemeris, for eMTC and NB-IoT [RAN2]</w:t>
            </w:r>
          </w:p>
          <w:p w14:paraId="082DD5BC" w14:textId="77777777" w:rsidR="00F61EF6" w:rsidRDefault="00F61EF6" w:rsidP="00BE4724">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E4724">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E4724">
            <w:pPr>
              <w:spacing w:after="60"/>
              <w:rPr>
                <w:bCs/>
              </w:rPr>
            </w:pPr>
          </w:p>
          <w:p w14:paraId="62CBCBEB" w14:textId="77777777" w:rsidR="00F61EF6" w:rsidRDefault="00F61EF6" w:rsidP="00BE4724">
            <w:pPr>
              <w:spacing w:after="60"/>
            </w:pPr>
            <w:r w:rsidRPr="00756D29">
              <w:t>4.1.3</w:t>
            </w:r>
            <w:r w:rsidRPr="00756D29">
              <w:tab/>
              <w:t>Further enhancement to discontinuous coverage</w:t>
            </w:r>
          </w:p>
          <w:p w14:paraId="3F5AE005" w14:textId="77777777" w:rsidR="00F61EF6" w:rsidRDefault="00F61EF6" w:rsidP="00BE4724">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2F01C903" w14:textId="597B824B" w:rsidR="00C25AEA" w:rsidRDefault="00C25AEA" w:rsidP="00F00A10"/>
    <w:p w14:paraId="66CEE32F" w14:textId="4E1B13F6" w:rsidR="00F00A10" w:rsidRPr="00F97E01" w:rsidRDefault="00F00A10" w:rsidP="00F00A10">
      <w:pPr>
        <w:rPr>
          <w:lang w:eastAsia="ko-KR"/>
        </w:rPr>
      </w:pPr>
      <w:r w:rsidRPr="00F97E01">
        <w:rPr>
          <w:lang w:eastAsia="ko-KR"/>
        </w:rPr>
        <w:t>In this contribution we</w:t>
      </w:r>
      <w:r w:rsidR="00F61EF6">
        <w:rPr>
          <w:lang w:eastAsia="ko-KR"/>
        </w:rPr>
        <w:t xml:space="preserve"> discuss</w:t>
      </w:r>
      <w:r w:rsidRPr="00F97E01">
        <w:rPr>
          <w:lang w:eastAsia="ko-KR"/>
        </w:rPr>
        <w:t xml:space="preserve"> </w:t>
      </w:r>
      <w:r w:rsidR="002E246F">
        <w:rPr>
          <w:lang w:eastAsia="ko-KR"/>
        </w:rPr>
        <w:t>issues related to</w:t>
      </w:r>
      <w:r w:rsidR="00F61EF6">
        <w:rPr>
          <w:lang w:eastAsia="ko-KR"/>
        </w:rPr>
        <w:t xml:space="preserve"> measurements of neighbouring cells</w:t>
      </w:r>
      <w:r w:rsidR="007C6BBA">
        <w:rPr>
          <w:lang w:eastAsia="ko-KR"/>
        </w:rPr>
        <w:t>,</w:t>
      </w:r>
      <w:r w:rsidR="00F61EF6">
        <w:rPr>
          <w:lang w:eastAsia="ko-KR"/>
        </w:rPr>
        <w:t xml:space="preserve"> signaling</w:t>
      </w:r>
      <w:r w:rsidR="002E246F">
        <w:rPr>
          <w:lang w:eastAsia="ko-KR"/>
        </w:rPr>
        <w:t xml:space="preserve"> </w:t>
      </w:r>
      <w:r w:rsidR="00FB3656">
        <w:rPr>
          <w:lang w:eastAsia="ko-KR"/>
        </w:rPr>
        <w:t xml:space="preserve">of </w:t>
      </w:r>
      <w:r w:rsidR="002E246F">
        <w:rPr>
          <w:lang w:eastAsia="ko-KR"/>
        </w:rPr>
        <w:t>neighbo</w:t>
      </w:r>
      <w:r w:rsidR="00F61EF6">
        <w:rPr>
          <w:lang w:eastAsia="ko-KR"/>
        </w:rPr>
        <w:t>u</w:t>
      </w:r>
      <w:r w:rsidR="002E246F">
        <w:rPr>
          <w:lang w:eastAsia="ko-KR"/>
        </w:rPr>
        <w:t>r</w:t>
      </w:r>
      <w:r w:rsidR="00F61EF6">
        <w:rPr>
          <w:lang w:eastAsia="ko-KR"/>
        </w:rPr>
        <w:t xml:space="preserve"> cell</w:t>
      </w:r>
      <w:r w:rsidR="002E246F">
        <w:rPr>
          <w:lang w:eastAsia="ko-KR"/>
        </w:rPr>
        <w:t xml:space="preserve"> ephemeris for IoT NTN</w:t>
      </w:r>
      <w:r w:rsidR="007C6BBA">
        <w:rPr>
          <w:lang w:eastAsia="ko-KR"/>
        </w:rPr>
        <w:t xml:space="preserve"> and RLF procedures</w:t>
      </w:r>
      <w:r w:rsidR="00F72021">
        <w:rPr>
          <w:lang w:eastAsia="ko-KR"/>
        </w:rPr>
        <w:t>.</w:t>
      </w:r>
    </w:p>
    <w:p w14:paraId="51ABF603" w14:textId="5D0865DE" w:rsidR="00DC6A61" w:rsidRPr="006E13D1" w:rsidRDefault="00DC6A61" w:rsidP="00B7538C">
      <w:pPr>
        <w:pStyle w:val="Heading1"/>
      </w:pPr>
      <w:r>
        <w:t>Discussion</w:t>
      </w:r>
    </w:p>
    <w:p w14:paraId="41C87948" w14:textId="72D8C538" w:rsidR="00216998" w:rsidRDefault="007A74F5" w:rsidP="008A092A">
      <w:pPr>
        <w:pStyle w:val="PatentBody"/>
        <w:numPr>
          <w:ilvl w:val="0"/>
          <w:numId w:val="0"/>
        </w:numPr>
        <w:spacing w:after="180" w:line="240" w:lineRule="auto"/>
        <w:jc w:val="both"/>
        <w:rPr>
          <w:sz w:val="20"/>
        </w:rPr>
      </w:pPr>
      <w:r>
        <w:rPr>
          <w:sz w:val="20"/>
        </w:rPr>
        <w:t>In Rel-17 IoT NTN was introduced with minimal enhancement</w:t>
      </w:r>
      <w:r w:rsidR="00FB3656">
        <w:rPr>
          <w:sz w:val="20"/>
        </w:rPr>
        <w:t xml:space="preserve">s for mobility purposes. The idea was that mobility enhancements would not be crucial for a first release </w:t>
      </w:r>
      <w:r w:rsidR="00600A62">
        <w:rPr>
          <w:sz w:val="20"/>
        </w:rPr>
        <w:t>due to</w:t>
      </w:r>
      <w:r w:rsidR="00FB3656">
        <w:rPr>
          <w:sz w:val="20"/>
        </w:rPr>
        <w:t xml:space="preserve"> the use case </w:t>
      </w:r>
      <w:r w:rsidR="00600A62">
        <w:rPr>
          <w:sz w:val="20"/>
        </w:rPr>
        <w:t>being</w:t>
      </w:r>
      <w:r w:rsidR="00FB3656">
        <w:rPr>
          <w:sz w:val="20"/>
        </w:rPr>
        <w:t xml:space="preserve"> to deliver small amounts of IoT data. In Rel-18 the use case is for an IoT UE to be connected for a longer time. </w:t>
      </w:r>
      <w:r w:rsidR="002A488C">
        <w:rPr>
          <w:sz w:val="20"/>
        </w:rPr>
        <w:t xml:space="preserve">Regarding performing neighbour cell measurements, there are two objectives considered that are different. One is supporting conditions for performing neighbour cell measurements as those introduced for Rel-17 NB-IoT, the other is supporting the actual signalling as required by RAN4 for neighbour cell measurements in NTN. </w:t>
      </w:r>
    </w:p>
    <w:p w14:paraId="36ED4253" w14:textId="47163B4D" w:rsidR="0018139B" w:rsidRDefault="0018139B" w:rsidP="008A092A">
      <w:pPr>
        <w:pStyle w:val="PatentBody"/>
        <w:numPr>
          <w:ilvl w:val="0"/>
          <w:numId w:val="0"/>
        </w:numPr>
        <w:spacing w:after="180" w:line="240" w:lineRule="auto"/>
        <w:jc w:val="both"/>
        <w:rPr>
          <w:sz w:val="20"/>
        </w:rPr>
      </w:pPr>
    </w:p>
    <w:p w14:paraId="3AEDC7F3" w14:textId="77777777" w:rsidR="0018139B" w:rsidRDefault="0018139B" w:rsidP="008A092A">
      <w:pPr>
        <w:pStyle w:val="PatentBody"/>
        <w:numPr>
          <w:ilvl w:val="0"/>
          <w:numId w:val="0"/>
        </w:numPr>
        <w:spacing w:after="180" w:line="240" w:lineRule="auto"/>
        <w:jc w:val="both"/>
        <w:rPr>
          <w:sz w:val="20"/>
        </w:rPr>
      </w:pPr>
    </w:p>
    <w:p w14:paraId="3D3C7215" w14:textId="1D2C1C38" w:rsidR="005D2C61" w:rsidRPr="00216998" w:rsidRDefault="005D2C61" w:rsidP="005D2C61">
      <w:pPr>
        <w:pStyle w:val="Heading2"/>
      </w:pPr>
      <w:r>
        <w:t>Neighbour cell</w:t>
      </w:r>
      <w:r w:rsidR="00AF5CA0">
        <w:t xml:space="preserve"> assistance</w:t>
      </w:r>
      <w:r>
        <w:t xml:space="preserve"> signaling</w:t>
      </w:r>
    </w:p>
    <w:p w14:paraId="52F15AB5" w14:textId="77777777" w:rsidR="005D2C61" w:rsidRDefault="005D2C61" w:rsidP="005D2C61">
      <w:pPr>
        <w:pStyle w:val="PatentBody"/>
        <w:numPr>
          <w:ilvl w:val="0"/>
          <w:numId w:val="0"/>
        </w:numPr>
        <w:spacing w:after="180" w:line="240" w:lineRule="auto"/>
        <w:jc w:val="both"/>
        <w:rPr>
          <w:sz w:val="20"/>
        </w:rPr>
      </w:pPr>
      <w:r>
        <w:rPr>
          <w:sz w:val="20"/>
        </w:rPr>
        <w:t>In RAN2#120 [3] the following was agreed in RAN2 for Rel-17 IoT NTN:</w:t>
      </w:r>
    </w:p>
    <w:p w14:paraId="1031ABBF" w14:textId="77777777" w:rsidR="005D2C61" w:rsidRDefault="005D2C61" w:rsidP="005D2C61">
      <w:pPr>
        <w:pStyle w:val="Doc-text2"/>
        <w:pBdr>
          <w:top w:val="single" w:sz="4" w:space="1" w:color="auto"/>
          <w:left w:val="single" w:sz="4" w:space="4" w:color="auto"/>
          <w:bottom w:val="single" w:sz="4" w:space="1" w:color="auto"/>
          <w:right w:val="single" w:sz="4" w:space="4" w:color="auto"/>
        </w:pBdr>
      </w:pPr>
      <w:r>
        <w:t>Agreements:</w:t>
      </w:r>
    </w:p>
    <w:p w14:paraId="5C9677A1" w14:textId="77777777" w:rsidR="005D2C61" w:rsidRDefault="005D2C61" w:rsidP="005D2C61">
      <w:pPr>
        <w:pStyle w:val="Doc-text2"/>
        <w:numPr>
          <w:ilvl w:val="0"/>
          <w:numId w:val="10"/>
        </w:numPr>
        <w:pBdr>
          <w:top w:val="single" w:sz="4" w:space="1" w:color="auto"/>
          <w:left w:val="single" w:sz="4" w:space="4" w:color="auto"/>
          <w:bottom w:val="single" w:sz="4" w:space="1" w:color="auto"/>
          <w:right w:val="single" w:sz="4" w:space="4" w:color="auto"/>
        </w:pBdr>
      </w:pPr>
      <w:r>
        <w:t>RAN2 doesn’t introduce neighbour cell ephemeris in Rel-17 IoT-NTN, neither for eMTC not for NB-IoT. RAN2 agrees to support this in Rel-18, with details FFS.</w:t>
      </w:r>
    </w:p>
    <w:p w14:paraId="13785300" w14:textId="61E85AC8" w:rsidR="005D2C61" w:rsidRDefault="005D2C61" w:rsidP="005D2C61">
      <w:pPr>
        <w:pStyle w:val="PatentBody"/>
        <w:numPr>
          <w:ilvl w:val="0"/>
          <w:numId w:val="0"/>
        </w:numPr>
        <w:spacing w:after="180" w:line="240" w:lineRule="auto"/>
        <w:jc w:val="both"/>
        <w:rPr>
          <w:sz w:val="20"/>
          <w:lang w:val="en-US"/>
        </w:rPr>
      </w:pPr>
    </w:p>
    <w:p w14:paraId="53D39380" w14:textId="74D118FB" w:rsidR="00880811" w:rsidRDefault="00AF5CA0" w:rsidP="005D2C61">
      <w:pPr>
        <w:pStyle w:val="PatentBody"/>
        <w:numPr>
          <w:ilvl w:val="0"/>
          <w:numId w:val="0"/>
        </w:numPr>
        <w:spacing w:after="180" w:line="240" w:lineRule="auto"/>
        <w:jc w:val="both"/>
        <w:rPr>
          <w:sz w:val="20"/>
          <w:lang w:val="en-US"/>
        </w:rPr>
      </w:pPr>
      <w:r>
        <w:rPr>
          <w:sz w:val="20"/>
          <w:lang w:val="en-US"/>
        </w:rPr>
        <w:t xml:space="preserve">In RAN2#121bis-e the following was agreed in RAN2 on neighbour cell assistance signaling: </w:t>
      </w:r>
    </w:p>
    <w:p w14:paraId="7CFBF2EE" w14:textId="77777777" w:rsidR="00AF5CA0" w:rsidRDefault="00AF5CA0" w:rsidP="00AF5CA0">
      <w:pPr>
        <w:pStyle w:val="Doc-text2"/>
        <w:pBdr>
          <w:top w:val="single" w:sz="4" w:space="1" w:color="auto"/>
          <w:left w:val="single" w:sz="4" w:space="4" w:color="auto"/>
          <w:bottom w:val="single" w:sz="4" w:space="1" w:color="auto"/>
          <w:right w:val="single" w:sz="4" w:space="4" w:color="auto"/>
        </w:pBdr>
      </w:pPr>
      <w:r>
        <w:t>Agreements:</w:t>
      </w:r>
    </w:p>
    <w:p w14:paraId="68A3969C" w14:textId="77777777" w:rsidR="00AF5CA0" w:rsidRDefault="00AF5CA0" w:rsidP="00AF5CA0">
      <w:pPr>
        <w:pStyle w:val="Doc-text2"/>
        <w:numPr>
          <w:ilvl w:val="0"/>
          <w:numId w:val="19"/>
        </w:numPr>
        <w:pBdr>
          <w:top w:val="single" w:sz="4" w:space="1" w:color="auto"/>
          <w:left w:val="single" w:sz="4" w:space="4" w:color="auto"/>
          <w:bottom w:val="single" w:sz="4" w:space="1" w:color="auto"/>
          <w:right w:val="single" w:sz="4" w:space="4" w:color="auto"/>
        </w:pBdr>
      </w:pPr>
      <w:r w:rsidRPr="009134E3">
        <w:t>New SIBxx is introduced to broadcast the neigh</w:t>
      </w:r>
      <w:r>
        <w:t>bor cell/satellite information.</w:t>
      </w:r>
    </w:p>
    <w:p w14:paraId="297212DC" w14:textId="77777777" w:rsidR="00AF5CA0" w:rsidRDefault="00AF5CA0" w:rsidP="00AF5CA0">
      <w:pPr>
        <w:pStyle w:val="Doc-text2"/>
        <w:pBdr>
          <w:top w:val="single" w:sz="4" w:space="1" w:color="auto"/>
          <w:left w:val="single" w:sz="4" w:space="4" w:color="auto"/>
          <w:bottom w:val="single" w:sz="4" w:space="1" w:color="auto"/>
          <w:right w:val="single" w:sz="4" w:space="4" w:color="auto"/>
        </w:pBdr>
      </w:pPr>
      <w:r>
        <w:t>Agreements via email – from offline 114:</w:t>
      </w:r>
    </w:p>
    <w:p w14:paraId="184A3FAA" w14:textId="77777777" w:rsidR="00AF5CA0" w:rsidRDefault="00AF5CA0" w:rsidP="00AF5CA0">
      <w:pPr>
        <w:pStyle w:val="Doc-text2"/>
        <w:numPr>
          <w:ilvl w:val="0"/>
          <w:numId w:val="20"/>
        </w:numPr>
        <w:pBdr>
          <w:top w:val="single" w:sz="4" w:space="1" w:color="auto"/>
          <w:left w:val="single" w:sz="4" w:space="4" w:color="auto"/>
          <w:bottom w:val="single" w:sz="4" w:space="1" w:color="auto"/>
          <w:right w:val="single" w:sz="4" w:space="4" w:color="auto"/>
        </w:pBdr>
      </w:pPr>
      <w:r>
        <w:t>Common TA parameters are broadcast as assistance information for neighbor cell measurements.</w:t>
      </w:r>
    </w:p>
    <w:p w14:paraId="73792A02" w14:textId="77777777" w:rsidR="00AF5CA0" w:rsidRDefault="00AF5CA0" w:rsidP="00AF5CA0">
      <w:pPr>
        <w:pStyle w:val="Doc-text2"/>
        <w:numPr>
          <w:ilvl w:val="0"/>
          <w:numId w:val="20"/>
        </w:numPr>
        <w:pBdr>
          <w:top w:val="single" w:sz="4" w:space="1" w:color="auto"/>
          <w:left w:val="single" w:sz="4" w:space="4" w:color="auto"/>
          <w:bottom w:val="single" w:sz="4" w:space="1" w:color="auto"/>
          <w:right w:val="single" w:sz="4" w:space="4" w:color="auto"/>
        </w:pBdr>
      </w:pPr>
      <w:r>
        <w:t>Kmac is broadcast as neighbor cell assistance information.</w:t>
      </w:r>
    </w:p>
    <w:p w14:paraId="0A4D72FC" w14:textId="77777777" w:rsidR="00AF5CA0" w:rsidRDefault="00AF5CA0" w:rsidP="00AF5CA0">
      <w:pPr>
        <w:pStyle w:val="Doc-text2"/>
        <w:numPr>
          <w:ilvl w:val="0"/>
          <w:numId w:val="20"/>
        </w:numPr>
        <w:pBdr>
          <w:top w:val="single" w:sz="4" w:space="1" w:color="auto"/>
          <w:left w:val="single" w:sz="4" w:space="4" w:color="auto"/>
          <w:bottom w:val="single" w:sz="4" w:space="1" w:color="auto"/>
          <w:right w:val="single" w:sz="4" w:space="4" w:color="auto"/>
        </w:pBdr>
      </w:pPr>
      <w:r>
        <w:t>For moving cell, the UE can derive the trajectory of serving cell with rough accuracy based on serving satellite ephemeris and epochTime, with the assumption that the serving cell reference location broadcast by the network is the one at Epoch time (like in NR-NTN)</w:t>
      </w:r>
    </w:p>
    <w:p w14:paraId="3291E797" w14:textId="77777777" w:rsidR="00AA1BCE" w:rsidRDefault="00AA1BCE" w:rsidP="00AA1BCE">
      <w:pPr>
        <w:pStyle w:val="Doc-text2"/>
        <w:pBdr>
          <w:top w:val="single" w:sz="4" w:space="1" w:color="auto"/>
          <w:left w:val="single" w:sz="4" w:space="4" w:color="auto"/>
          <w:bottom w:val="single" w:sz="4" w:space="1" w:color="auto"/>
          <w:right w:val="single" w:sz="4" w:space="4" w:color="auto"/>
        </w:pBdr>
      </w:pPr>
      <w:r>
        <w:t>Agreements online:</w:t>
      </w:r>
    </w:p>
    <w:p w14:paraId="226E64F3" w14:textId="77777777" w:rsidR="00AA1BCE" w:rsidRDefault="00AA1BCE" w:rsidP="00AA1BCE">
      <w:pPr>
        <w:pStyle w:val="Doc-text2"/>
        <w:numPr>
          <w:ilvl w:val="0"/>
          <w:numId w:val="21"/>
        </w:numPr>
        <w:pBdr>
          <w:top w:val="single" w:sz="4" w:space="1" w:color="auto"/>
          <w:left w:val="single" w:sz="4" w:space="4" w:color="auto"/>
          <w:bottom w:val="single" w:sz="4" w:space="1" w:color="auto"/>
          <w:right w:val="single" w:sz="4" w:space="4" w:color="auto"/>
        </w:pBdr>
      </w:pPr>
      <w:r w:rsidRPr="00805548">
        <w:t>Introduce satellite ID for the satellite in a list</w:t>
      </w:r>
      <w:r>
        <w:t xml:space="preserve"> in new SIB-xx</w:t>
      </w:r>
      <w:r w:rsidRPr="00805548">
        <w:t>.</w:t>
      </w:r>
      <w:r>
        <w:t xml:space="preserve"> FFS on the details of the new IE</w:t>
      </w:r>
    </w:p>
    <w:p w14:paraId="002370A2" w14:textId="77777777" w:rsidR="00AA1BCE" w:rsidRDefault="00AA1BCE" w:rsidP="00AA1BCE">
      <w:pPr>
        <w:pStyle w:val="Doc-text2"/>
        <w:numPr>
          <w:ilvl w:val="0"/>
          <w:numId w:val="21"/>
        </w:numPr>
        <w:pBdr>
          <w:top w:val="single" w:sz="4" w:space="1" w:color="auto"/>
          <w:left w:val="single" w:sz="4" w:space="4" w:color="auto"/>
          <w:bottom w:val="single" w:sz="4" w:space="1" w:color="auto"/>
          <w:right w:val="single" w:sz="4" w:space="4" w:color="auto"/>
        </w:pBdr>
      </w:pPr>
      <w:r>
        <w:t>For eMTC NTN, f</w:t>
      </w:r>
      <w:r w:rsidRPr="00501057">
        <w:t>or fixed cell, location-based measurement initiation can also be used in RRC_IDLE for cell re-selection purposes (like in NR-NTN)</w:t>
      </w:r>
    </w:p>
    <w:p w14:paraId="6AA4ACB9" w14:textId="77777777" w:rsidR="00AA1BCE" w:rsidRDefault="00AA1BCE" w:rsidP="00AA1BCE">
      <w:pPr>
        <w:pStyle w:val="Doc-text2"/>
        <w:numPr>
          <w:ilvl w:val="0"/>
          <w:numId w:val="21"/>
        </w:numPr>
        <w:pBdr>
          <w:top w:val="single" w:sz="4" w:space="1" w:color="auto"/>
          <w:left w:val="single" w:sz="4" w:space="4" w:color="auto"/>
          <w:bottom w:val="single" w:sz="4" w:space="1" w:color="auto"/>
          <w:right w:val="single" w:sz="4" w:space="4" w:color="auto"/>
        </w:pBdr>
      </w:pPr>
      <w:r>
        <w:t>For eMTC NTN, for moving</w:t>
      </w:r>
      <w:r w:rsidRPr="00D238DF">
        <w:t xml:space="preserve"> cell, location-based measurement initiation can also be used in RRC_IDLE </w:t>
      </w:r>
      <w:r>
        <w:t xml:space="preserve">for cell re-selection purposes </w:t>
      </w:r>
      <w:r w:rsidRPr="00D238DF">
        <w:t>(like in NR-NTN</w:t>
      </w:r>
      <w:r>
        <w:t xml:space="preserve">). </w:t>
      </w:r>
      <w:r w:rsidRPr="00D238DF">
        <w:t>FFS whether to consider solution that does not require UE to update the GNSS for this same as in connected mode</w:t>
      </w:r>
    </w:p>
    <w:p w14:paraId="4A83260D" w14:textId="77777777" w:rsidR="00AA1BCE" w:rsidRDefault="00AA1BCE" w:rsidP="00AA1BCE">
      <w:pPr>
        <w:pStyle w:val="Doc-text2"/>
        <w:numPr>
          <w:ilvl w:val="0"/>
          <w:numId w:val="21"/>
        </w:numPr>
        <w:pBdr>
          <w:top w:val="single" w:sz="4" w:space="1" w:color="auto"/>
          <w:left w:val="single" w:sz="4" w:space="4" w:color="auto"/>
          <w:bottom w:val="single" w:sz="4" w:space="1" w:color="auto"/>
          <w:right w:val="single" w:sz="4" w:space="4" w:color="auto"/>
        </w:pBdr>
      </w:pPr>
      <w:r>
        <w:t>SIB3</w:t>
      </w:r>
      <w:r w:rsidRPr="00805548">
        <w:t xml:space="preserve"> is extended to include the reference location and distanceThresh</w:t>
      </w:r>
    </w:p>
    <w:p w14:paraId="14B8492D" w14:textId="4FDAEC0F" w:rsidR="00AF5CA0" w:rsidRDefault="00AF5CA0" w:rsidP="005D2C61">
      <w:pPr>
        <w:pStyle w:val="PatentBody"/>
        <w:numPr>
          <w:ilvl w:val="0"/>
          <w:numId w:val="0"/>
        </w:numPr>
        <w:spacing w:after="180" w:line="240" w:lineRule="auto"/>
        <w:jc w:val="both"/>
        <w:rPr>
          <w:sz w:val="20"/>
          <w:lang w:val="en-US"/>
        </w:rPr>
      </w:pPr>
    </w:p>
    <w:p w14:paraId="62C67D16" w14:textId="77777777" w:rsidR="00AA1BCE" w:rsidRDefault="00AA1BCE" w:rsidP="00AA1BCE">
      <w:pPr>
        <w:pStyle w:val="Comments"/>
      </w:pPr>
      <w:r>
        <w:t>Proposal 9          (13/14) For fixed cell, same mechanism of location-based connected mode measurement initiation can also be used in RRC_IDLE (like in NR-NTN).</w:t>
      </w:r>
    </w:p>
    <w:p w14:paraId="724EACAE" w14:textId="77777777" w:rsidR="00AA1BCE" w:rsidRDefault="00AA1BCE" w:rsidP="00AA1BCE">
      <w:pPr>
        <w:pStyle w:val="Comments"/>
      </w:pPr>
      <w:r>
        <w:t>Proposal 10       (12/14) For moving cell, same mechanism of location-based connected mode measurement initiation can also be used in RRC_IDLE. FFS whether to consider solution that does not require UE to update the GNSS for this same as in connected mode.</w:t>
      </w:r>
    </w:p>
    <w:p w14:paraId="5C5D70A5" w14:textId="77777777" w:rsidR="00AA1BCE" w:rsidRDefault="00AA1BCE" w:rsidP="00AA1BCE">
      <w:pPr>
        <w:pStyle w:val="Comments"/>
      </w:pPr>
      <w:r>
        <w:t>Proposal 2          (Proposed way forward) A single validity duration is assumed for the new SIBxx including all neighbor satellites information. FFS whether it is defined as implicit (serving satellite validity duration) or explicit in SIBxx or both.</w:t>
      </w:r>
    </w:p>
    <w:p w14:paraId="4D5B64D5" w14:textId="3EF7259F" w:rsidR="00AA1BCE" w:rsidRDefault="00AA1BCE" w:rsidP="00AA1BCE">
      <w:pPr>
        <w:pStyle w:val="Comments"/>
      </w:pPr>
      <w:r>
        <w:t>Proposal 3          (10/13) For fixed cell, the cell start time of the neighbor cell is broadcast.</w:t>
      </w:r>
    </w:p>
    <w:p w14:paraId="75DE064B" w14:textId="7604DE70" w:rsidR="00AA1BCE" w:rsidRPr="00790FD3" w:rsidRDefault="00AA1BCE" w:rsidP="00AA1BCE">
      <w:pPr>
        <w:pStyle w:val="Comments"/>
      </w:pPr>
      <w:r>
        <w:t>Proposal 6          (8/13) for moving cell, reference location and distance threshold of neighbor cell are broadcast.</w:t>
      </w:r>
    </w:p>
    <w:p w14:paraId="1C9ECFD2" w14:textId="69865DBD" w:rsidR="00AA1BCE" w:rsidRDefault="00AA1BCE" w:rsidP="0024157F">
      <w:pPr>
        <w:pStyle w:val="Comments"/>
      </w:pPr>
      <w:r>
        <w:t>Proposal 13       (9/14) For cell (re)selection in earth-moving system, time-based measurement initiation is used to address feeder-link switch case.</w:t>
      </w:r>
    </w:p>
    <w:p w14:paraId="62C71664" w14:textId="77777777" w:rsidR="0024157F" w:rsidRPr="0024157F" w:rsidRDefault="0024157F" w:rsidP="0024157F">
      <w:pPr>
        <w:pStyle w:val="Comments"/>
        <w:rPr>
          <w:i w:val="0"/>
        </w:rPr>
      </w:pPr>
    </w:p>
    <w:p w14:paraId="161BF3CB" w14:textId="1C66AED2" w:rsidR="00AA1BCE" w:rsidRDefault="00AA1BCE" w:rsidP="005D2C61">
      <w:pPr>
        <w:pStyle w:val="PatentBody"/>
        <w:numPr>
          <w:ilvl w:val="0"/>
          <w:numId w:val="0"/>
        </w:numPr>
        <w:spacing w:after="180" w:line="240" w:lineRule="auto"/>
        <w:jc w:val="both"/>
        <w:rPr>
          <w:sz w:val="20"/>
        </w:rPr>
      </w:pPr>
      <w:r>
        <w:rPr>
          <w:sz w:val="20"/>
        </w:rPr>
        <w:t xml:space="preserve">Satellite ID was agreed to be introduced in order to compress the signalling, as the new SIBxx only contains neighbour assistance information per satellite rather than per cell. This is motivated by the fact that there will be multiple cells per satellite. </w:t>
      </w:r>
      <w:r w:rsidR="00CC554F">
        <w:rPr>
          <w:sz w:val="20"/>
        </w:rPr>
        <w:t xml:space="preserve">Thus the question is how this is tied to other frequencies. It was mentioned that the satellite indication is included in SIB5, but it is unclear what exactly this means. </w:t>
      </w:r>
    </w:p>
    <w:p w14:paraId="67A75D9D" w14:textId="6D9C4ABF" w:rsidR="00027970" w:rsidRDefault="00C5204F" w:rsidP="00790FD3">
      <w:pPr>
        <w:pStyle w:val="PatentBody"/>
        <w:numPr>
          <w:ilvl w:val="0"/>
          <w:numId w:val="0"/>
        </w:numPr>
        <w:spacing w:after="60" w:line="240" w:lineRule="auto"/>
        <w:jc w:val="both"/>
        <w:rPr>
          <w:sz w:val="20"/>
        </w:rPr>
      </w:pPr>
      <w:r>
        <w:rPr>
          <w:sz w:val="20"/>
        </w:rPr>
        <w:t xml:space="preserve">One way to link a neighbour satellite assistance information element via the satelliteId is to include the satelliteId in the information about neighbour cell frequencies in the related SIBs. </w:t>
      </w:r>
      <w:r w:rsidR="00027970">
        <w:rPr>
          <w:sz w:val="20"/>
        </w:rPr>
        <w:t xml:space="preserve">Suitable information elements include: </w:t>
      </w:r>
    </w:p>
    <w:p w14:paraId="36DD83FF" w14:textId="179A7F6E" w:rsidR="00027970" w:rsidRDefault="00027970" w:rsidP="00790FD3">
      <w:pPr>
        <w:pStyle w:val="PatentBody"/>
        <w:numPr>
          <w:ilvl w:val="0"/>
          <w:numId w:val="9"/>
        </w:numPr>
        <w:spacing w:after="60" w:line="240" w:lineRule="auto"/>
        <w:ind w:left="641" w:hanging="357"/>
        <w:jc w:val="both"/>
        <w:rPr>
          <w:sz w:val="20"/>
        </w:rPr>
      </w:pPr>
      <w:r>
        <w:rPr>
          <w:sz w:val="20"/>
        </w:rPr>
        <w:t>Intra frequency Neighbour cell Info (</w:t>
      </w:r>
      <w:r w:rsidRPr="00027970">
        <w:rPr>
          <w:i/>
          <w:sz w:val="20"/>
        </w:rPr>
        <w:t>IntraFreqNeighCellInfo</w:t>
      </w:r>
      <w:r>
        <w:rPr>
          <w:sz w:val="20"/>
        </w:rPr>
        <w:t>) in SIB4</w:t>
      </w:r>
    </w:p>
    <w:p w14:paraId="1FEC645F" w14:textId="4AD05F1C" w:rsidR="00027970" w:rsidRPr="00AA1BCE" w:rsidRDefault="00027970" w:rsidP="00790FD3">
      <w:pPr>
        <w:pStyle w:val="PatentBody"/>
        <w:numPr>
          <w:ilvl w:val="0"/>
          <w:numId w:val="9"/>
        </w:numPr>
        <w:spacing w:after="60" w:line="240" w:lineRule="auto"/>
        <w:ind w:left="641" w:hanging="357"/>
        <w:jc w:val="both"/>
        <w:rPr>
          <w:sz w:val="20"/>
        </w:rPr>
      </w:pPr>
      <w:r>
        <w:rPr>
          <w:sz w:val="20"/>
        </w:rPr>
        <w:t>Inter frequency carrier frequency info (</w:t>
      </w:r>
      <w:r w:rsidRPr="00027970">
        <w:rPr>
          <w:i/>
          <w:sz w:val="20"/>
        </w:rPr>
        <w:t>InterFreqCarrierFreqInfo</w:t>
      </w:r>
      <w:r>
        <w:rPr>
          <w:sz w:val="20"/>
        </w:rPr>
        <w:t xml:space="preserve">) in SIB5. </w:t>
      </w:r>
    </w:p>
    <w:p w14:paraId="239AAA25" w14:textId="5F908D75" w:rsidR="00027970" w:rsidRDefault="00027970" w:rsidP="00027970">
      <w:pPr>
        <w:pStyle w:val="PatentBody"/>
        <w:numPr>
          <w:ilvl w:val="0"/>
          <w:numId w:val="0"/>
        </w:numPr>
        <w:spacing w:after="180" w:line="240" w:lineRule="auto"/>
        <w:jc w:val="both"/>
        <w:rPr>
          <w:sz w:val="20"/>
          <w:lang w:val="en-US"/>
        </w:rPr>
      </w:pPr>
      <w:r>
        <w:rPr>
          <w:sz w:val="20"/>
          <w:lang w:val="en-US"/>
        </w:rPr>
        <w:t xml:space="preserve">Thus we propose that satelliteId is included the above information elements, either as a parallel list or in the actual information element: </w:t>
      </w:r>
    </w:p>
    <w:p w14:paraId="6AF98F72" w14:textId="71D4E168" w:rsidR="00027970" w:rsidRPr="00027970" w:rsidRDefault="00027970" w:rsidP="00027970">
      <w:pPr>
        <w:jc w:val="both"/>
        <w:rPr>
          <w:b/>
        </w:rPr>
      </w:pPr>
      <w:r>
        <w:rPr>
          <w:b/>
        </w:rPr>
        <w:t xml:space="preserve">Proposal 1: </w:t>
      </w:r>
      <w:r w:rsidRPr="0024157F">
        <w:rPr>
          <w:b/>
          <w:i/>
        </w:rPr>
        <w:t>satelliteId</w:t>
      </w:r>
      <w:r>
        <w:rPr>
          <w:b/>
        </w:rPr>
        <w:t xml:space="preserve"> is introduced in/alongside</w:t>
      </w:r>
      <w:r w:rsidR="00A70838">
        <w:rPr>
          <w:b/>
        </w:rPr>
        <w:t xml:space="preserve"> (as a parallel list)</w:t>
      </w:r>
      <w:r>
        <w:rPr>
          <w:b/>
        </w:rPr>
        <w:t xml:space="preserve"> information elements </w:t>
      </w:r>
      <w:r w:rsidRPr="00027970">
        <w:rPr>
          <w:b/>
          <w:i/>
        </w:rPr>
        <w:t>IntraFreqNeighCellInfo</w:t>
      </w:r>
      <w:r>
        <w:rPr>
          <w:b/>
        </w:rPr>
        <w:t xml:space="preserve"> in SIB4(-NB) or </w:t>
      </w:r>
      <w:r w:rsidRPr="00027970">
        <w:rPr>
          <w:b/>
          <w:i/>
        </w:rPr>
        <w:t>InterFreqCarrierFreqInfo</w:t>
      </w:r>
      <w:r>
        <w:rPr>
          <w:b/>
        </w:rPr>
        <w:t xml:space="preserve"> in SIB5(-NB).</w:t>
      </w:r>
    </w:p>
    <w:p w14:paraId="2432CAC4" w14:textId="7383F04C" w:rsidR="0055000F" w:rsidRDefault="001B5A48" w:rsidP="005D2C61">
      <w:pPr>
        <w:pStyle w:val="PatentBody"/>
        <w:numPr>
          <w:ilvl w:val="0"/>
          <w:numId w:val="0"/>
        </w:numPr>
        <w:spacing w:after="180" w:line="240" w:lineRule="auto"/>
        <w:jc w:val="both"/>
        <w:rPr>
          <w:sz w:val="20"/>
          <w:lang w:val="en-US"/>
        </w:rPr>
      </w:pPr>
      <w:r>
        <w:rPr>
          <w:sz w:val="20"/>
          <w:lang w:val="en-US"/>
        </w:rPr>
        <w:t xml:space="preserve">In the e-mail discussion there </w:t>
      </w:r>
      <w:r w:rsidR="00027970">
        <w:rPr>
          <w:sz w:val="20"/>
          <w:lang w:val="en-US"/>
        </w:rPr>
        <w:t>were several agreements on new content for the new SIB</w:t>
      </w:r>
      <w:r w:rsidR="006D1316">
        <w:rPr>
          <w:sz w:val="20"/>
          <w:lang w:val="en-US"/>
        </w:rPr>
        <w:t xml:space="preserve"> or for each individual neighbour satellite assistance information element. One crucial component of that is the validity duration. In NR NTN it was agreed that there will be validity durations for each neighbour satellite information element, the UE may then by implementation decide how to re-acquire SIB19 according to the validity duration. In IoT NTN this cannot work as the UE is not able to read system information in RRC connected mode. Thus the validity duration needs to be handled differently. In the e-mail discussions the following was suggested as a way forward: </w:t>
      </w:r>
    </w:p>
    <w:p w14:paraId="1DEE083B" w14:textId="77777777" w:rsidR="006D1316" w:rsidRDefault="006D1316" w:rsidP="006D1316">
      <w:pPr>
        <w:pStyle w:val="Comments"/>
      </w:pPr>
      <w:r>
        <w:t>Proposal 2          (Proposed way forward) A single validity duration is assumed for the new SIBxx including all neighbor satellites information. FFS whether it is defined as implicit (serving satellite validity duration) or explicit in SIBxx or both.</w:t>
      </w:r>
    </w:p>
    <w:p w14:paraId="6C5E326B" w14:textId="00A98E6C" w:rsidR="006D1316" w:rsidRDefault="006D1316" w:rsidP="00A70838">
      <w:pPr>
        <w:pStyle w:val="PatentBody"/>
        <w:numPr>
          <w:ilvl w:val="0"/>
          <w:numId w:val="0"/>
        </w:numPr>
        <w:spacing w:after="60" w:line="240" w:lineRule="auto"/>
        <w:jc w:val="both"/>
        <w:rPr>
          <w:sz w:val="20"/>
        </w:rPr>
      </w:pPr>
    </w:p>
    <w:p w14:paraId="1BBB6E17" w14:textId="72A98E0E" w:rsidR="00E51F1C" w:rsidRDefault="006D1316" w:rsidP="005D2C61">
      <w:pPr>
        <w:pStyle w:val="PatentBody"/>
        <w:numPr>
          <w:ilvl w:val="0"/>
          <w:numId w:val="0"/>
        </w:numPr>
        <w:spacing w:after="180" w:line="240" w:lineRule="auto"/>
        <w:jc w:val="both"/>
        <w:rPr>
          <w:sz w:val="20"/>
        </w:rPr>
      </w:pPr>
      <w:r>
        <w:rPr>
          <w:sz w:val="20"/>
        </w:rPr>
        <w:t xml:space="preserve">This is likely a good way forward to ensure that the neighbour cell assistance information is kept valid. </w:t>
      </w:r>
      <w:r w:rsidR="00064E50">
        <w:rPr>
          <w:sz w:val="20"/>
        </w:rPr>
        <w:t xml:space="preserve">But here we explore the two suggested options a bit further and their implications. If there is a single validity duration for all of neighbour cell assistance information elements, this may mean that we need to define a new timer for the validity duration as well as the timer for when to read SIBxx, similar to SIB31. </w:t>
      </w:r>
      <w:r w:rsidR="00E51F1C">
        <w:rPr>
          <w:sz w:val="20"/>
        </w:rPr>
        <w:t>If it is implicit, i.e being the same as the serving satellite validity duration, then we assume that SIBxx is acquired at the same time as SIB31. This means that no new timers need to be introduced for SIBxx</w:t>
      </w:r>
      <w:r w:rsidR="00373F83">
        <w:rPr>
          <w:sz w:val="20"/>
        </w:rPr>
        <w:t xml:space="preserve"> and several other considerations are made more simple</w:t>
      </w:r>
      <w:r w:rsidR="00E51F1C">
        <w:rPr>
          <w:sz w:val="20"/>
        </w:rPr>
        <w:t>. Thus we propose that RAN2 agrees that implicit</w:t>
      </w:r>
      <w:r w:rsidR="00373F83">
        <w:rPr>
          <w:sz w:val="20"/>
        </w:rPr>
        <w:t xml:space="preserve"> validity duration is defined</w:t>
      </w:r>
      <w:r w:rsidR="00E51F1C">
        <w:rPr>
          <w:sz w:val="20"/>
        </w:rPr>
        <w:t xml:space="preserve">, i.e the UE reads re-acquires new SIBxx during T318 according to T317. </w:t>
      </w:r>
    </w:p>
    <w:p w14:paraId="20028165" w14:textId="30D2C2D9" w:rsidR="00E51F1C" w:rsidRPr="00870576" w:rsidRDefault="00E51F1C" w:rsidP="00E51F1C">
      <w:pPr>
        <w:pStyle w:val="PatentBody"/>
        <w:numPr>
          <w:ilvl w:val="0"/>
          <w:numId w:val="0"/>
        </w:numPr>
        <w:spacing w:after="180" w:line="240" w:lineRule="auto"/>
        <w:jc w:val="both"/>
        <w:rPr>
          <w:b/>
          <w:sz w:val="20"/>
          <w:lang w:val="en-US"/>
        </w:rPr>
      </w:pPr>
      <w:r w:rsidRPr="00870576">
        <w:rPr>
          <w:b/>
          <w:sz w:val="20"/>
          <w:lang w:val="en-US"/>
        </w:rPr>
        <w:t xml:space="preserve">Observation 1: </w:t>
      </w:r>
      <w:r>
        <w:rPr>
          <w:b/>
          <w:sz w:val="20"/>
          <w:lang w:val="en-US"/>
        </w:rPr>
        <w:t>Explicit validity duration for new SIBxx may require new timers specifically for SIBxx and implicit validity duration may not require new timers</w:t>
      </w:r>
      <w:r w:rsidRPr="00870576">
        <w:rPr>
          <w:b/>
          <w:sz w:val="20"/>
          <w:lang w:val="en-US"/>
        </w:rPr>
        <w:t xml:space="preserve">. </w:t>
      </w:r>
    </w:p>
    <w:p w14:paraId="3FFA9550" w14:textId="488E9FDA" w:rsidR="005D2C61" w:rsidRDefault="00E51F1C" w:rsidP="00373F83">
      <w:pPr>
        <w:jc w:val="both"/>
        <w:rPr>
          <w:b/>
        </w:rPr>
      </w:pPr>
      <w:r>
        <w:rPr>
          <w:b/>
        </w:rPr>
        <w:t>Proposal 2: Implicit validity duration, same as serving sat</w:t>
      </w:r>
      <w:r w:rsidR="00C74E92">
        <w:rPr>
          <w:b/>
        </w:rPr>
        <w:t>ellite validity, is assumed and</w:t>
      </w:r>
      <w:r>
        <w:rPr>
          <w:b/>
        </w:rPr>
        <w:t xml:space="preserve"> UE acquires SIBxx when it acquires SIB31 during T318.</w:t>
      </w:r>
    </w:p>
    <w:p w14:paraId="357C2A23" w14:textId="0F28F390" w:rsidR="005D2C61" w:rsidRDefault="005D2C61" w:rsidP="005D2C61">
      <w:pPr>
        <w:rPr>
          <w:lang w:val="en-GB" w:eastAsia="en-US"/>
        </w:rPr>
      </w:pPr>
      <w:r>
        <w:rPr>
          <w:lang w:val="en-GB" w:eastAsia="en-US"/>
        </w:rPr>
        <w:t>For the target cell neighbour cell ephemeris for eMTC, there are also some</w:t>
      </w:r>
      <w:r w:rsidR="0022251E">
        <w:rPr>
          <w:lang w:val="en-GB" w:eastAsia="en-US"/>
        </w:rPr>
        <w:t xml:space="preserve"> other</w:t>
      </w:r>
      <w:r>
        <w:rPr>
          <w:lang w:val="en-GB" w:eastAsia="en-US"/>
        </w:rPr>
        <w:t xml:space="preserve"> considerations needed. In IoT NTN Rel-17, the target cell ephemeris is sent with SIB31 as part of </w:t>
      </w:r>
      <w:r w:rsidRPr="0099772A">
        <w:rPr>
          <w:i/>
          <w:lang w:val="en-GB" w:eastAsia="en-US"/>
        </w:rPr>
        <w:t>RRCConnectionReconfiguration</w:t>
      </w:r>
      <w:r>
        <w:rPr>
          <w:lang w:val="en-GB" w:eastAsia="en-US"/>
        </w:rPr>
        <w:t xml:space="preserve"> along with the handover command (</w:t>
      </w:r>
      <w:r w:rsidRPr="00D019F7">
        <w:rPr>
          <w:i/>
          <w:lang w:val="en-GB" w:eastAsia="en-US"/>
        </w:rPr>
        <w:t>mobilityControlInfo</w:t>
      </w:r>
      <w:r>
        <w:rPr>
          <w:lang w:val="en-GB" w:eastAsia="en-US"/>
        </w:rPr>
        <w:t xml:space="preserve">) so that IoT NTN UE does not have to read any SIB in connected mode except as indicated by T317. </w:t>
      </w:r>
      <w:r w:rsidR="0022251E">
        <w:rPr>
          <w:lang w:val="en-GB" w:eastAsia="en-US"/>
        </w:rPr>
        <w:t xml:space="preserve">This is because the UE should be configured with all system information required for operating in that cell, so that UE does not need to acquire any system information when having connected. This implies that the new SIB (if agreed) should be included in the handover command to the UE. </w:t>
      </w:r>
      <w:r>
        <w:rPr>
          <w:lang w:val="en-GB" w:eastAsia="en-US"/>
        </w:rPr>
        <w:t xml:space="preserve">If the target cell neighbour cell ephemeris is included in a handover command, it is likely that the handover command may become prohibitively large. </w:t>
      </w:r>
    </w:p>
    <w:p w14:paraId="7BDB7534" w14:textId="1C6128C4" w:rsidR="000824A8" w:rsidRDefault="000824A8" w:rsidP="005D2C61">
      <w:pPr>
        <w:rPr>
          <w:lang w:val="en-GB" w:eastAsia="en-US"/>
        </w:rPr>
      </w:pPr>
      <w:r>
        <w:rPr>
          <w:lang w:val="en-GB" w:eastAsia="en-US"/>
        </w:rPr>
        <w:t xml:space="preserve">Options can be that a UE acquires the target cell neighbour cell ephemeris for measurements by reading the system information after having connected to the target cell or via dedicated signalling. </w:t>
      </w:r>
      <w:r w:rsidR="00021B17">
        <w:rPr>
          <w:lang w:val="en-GB" w:eastAsia="en-US"/>
        </w:rPr>
        <w:t xml:space="preserve">But we think that RAN2 should discuss this. </w:t>
      </w:r>
    </w:p>
    <w:p w14:paraId="4FEF2675" w14:textId="29C9BD17" w:rsidR="006C13E8" w:rsidRPr="006C13E8" w:rsidRDefault="005D2C61" w:rsidP="0016769C">
      <w:pPr>
        <w:jc w:val="both"/>
        <w:rPr>
          <w:b/>
        </w:rPr>
      </w:pPr>
      <w:r>
        <w:rPr>
          <w:b/>
        </w:rPr>
        <w:t xml:space="preserve">Proposal </w:t>
      </w:r>
      <w:r w:rsidR="00373F83">
        <w:rPr>
          <w:b/>
        </w:rPr>
        <w:t>3</w:t>
      </w:r>
      <w:r>
        <w:rPr>
          <w:b/>
        </w:rPr>
        <w:t xml:space="preserve">: </w:t>
      </w:r>
      <w:r w:rsidR="00021B17">
        <w:rPr>
          <w:b/>
        </w:rPr>
        <w:t>RAN2 to discuss how UE acquires target cell neighbour cell ephemeris during handovers</w:t>
      </w:r>
      <w:r w:rsidR="00B25D3B">
        <w:rPr>
          <w:b/>
        </w:rPr>
        <w:t>.</w:t>
      </w:r>
    </w:p>
    <w:p w14:paraId="13EF2C1A" w14:textId="78ED0C36" w:rsidR="0018139B" w:rsidRDefault="0018139B" w:rsidP="0018139B">
      <w:pPr>
        <w:pStyle w:val="Heading2"/>
      </w:pPr>
      <w:r>
        <w:t>Neighbour cell measurements</w:t>
      </w:r>
      <w:r w:rsidR="002F5304">
        <w:t xml:space="preserve"> triggering</w:t>
      </w:r>
    </w:p>
    <w:p w14:paraId="621AFB56" w14:textId="5AB70B9E" w:rsidR="00016031" w:rsidRDefault="00016031" w:rsidP="0018139B">
      <w:pPr>
        <w:rPr>
          <w:lang w:eastAsia="en-US"/>
        </w:rPr>
      </w:pPr>
      <w:r>
        <w:rPr>
          <w:lang w:eastAsia="en-US"/>
        </w:rPr>
        <w:t xml:space="preserve">While it is clear that neighbour cell measurement enhancements shall be supported for NB-IoT, whether it is supported for eMTC is still an open issue. </w:t>
      </w:r>
      <w:r w:rsidR="002F5304">
        <w:rPr>
          <w:lang w:eastAsia="en-US"/>
        </w:rPr>
        <w:t xml:space="preserve">In RAN2#121 </w:t>
      </w:r>
      <w:r w:rsidR="008C7C67">
        <w:rPr>
          <w:lang w:eastAsia="en-US"/>
        </w:rPr>
        <w:t>the issue was further discussed without a conclusion</w:t>
      </w:r>
      <w:r w:rsidR="00ED4FE8">
        <w:rPr>
          <w:lang w:eastAsia="en-US"/>
        </w:rPr>
        <w:t xml:space="preserve"> [</w:t>
      </w:r>
      <w:r w:rsidR="001F4157">
        <w:rPr>
          <w:lang w:eastAsia="en-US"/>
        </w:rPr>
        <w:t>4</w:t>
      </w:r>
      <w:r w:rsidR="00ED4FE8">
        <w:rPr>
          <w:lang w:eastAsia="en-US"/>
        </w:rPr>
        <w:t>]</w:t>
      </w:r>
      <w:r w:rsidR="008C7C67">
        <w:rPr>
          <w:lang w:eastAsia="en-US"/>
        </w:rPr>
        <w:t>.</w:t>
      </w:r>
      <w:r w:rsidR="002F5304">
        <w:rPr>
          <w:lang w:eastAsia="en-US"/>
        </w:rPr>
        <w:t xml:space="preserve"> </w:t>
      </w:r>
      <w:r w:rsidR="004E236C">
        <w:rPr>
          <w:lang w:eastAsia="en-US"/>
        </w:rPr>
        <w:t xml:space="preserve">In the </w:t>
      </w:r>
      <w:r w:rsidR="004E236C" w:rsidRPr="00D32165">
        <w:rPr>
          <w:lang w:eastAsia="en-US"/>
        </w:rPr>
        <w:t>table</w:t>
      </w:r>
      <w:r w:rsidR="00D32165" w:rsidRPr="00D32165">
        <w:rPr>
          <w:lang w:eastAsia="en-US"/>
        </w:rPr>
        <w:t xml:space="preserve"> 1</w:t>
      </w:r>
      <w:r w:rsidR="004E236C">
        <w:rPr>
          <w:lang w:eastAsia="en-US"/>
        </w:rPr>
        <w:t xml:space="preserve"> below, we consider the arguments for and against introducing the measurements regardless of whether this is considered to be supported by the wording</w:t>
      </w:r>
      <w:r w:rsidR="00600A62">
        <w:rPr>
          <w:lang w:eastAsia="en-US"/>
        </w:rPr>
        <w:t xml:space="preserve"> in</w:t>
      </w:r>
      <w:r w:rsidR="004E236C">
        <w:rPr>
          <w:lang w:eastAsia="en-US"/>
        </w:rPr>
        <w:t xml:space="preserve"> the WID. </w:t>
      </w:r>
    </w:p>
    <w:p w14:paraId="3ACBF3AD" w14:textId="3361C444" w:rsidR="00D32165" w:rsidRPr="00952D55" w:rsidRDefault="00D32165" w:rsidP="00952D55">
      <w:pPr>
        <w:pStyle w:val="Caption"/>
        <w:keepNext/>
        <w:spacing w:after="120"/>
        <w:rPr>
          <w:b/>
          <w:i w:val="0"/>
          <w:color w:val="auto"/>
        </w:rPr>
      </w:pPr>
      <w:r w:rsidRPr="00952D55">
        <w:rPr>
          <w:b/>
          <w:i w:val="0"/>
          <w:color w:val="auto"/>
        </w:rPr>
        <w:t xml:space="preserve">Table </w:t>
      </w:r>
      <w:r w:rsidRPr="00952D55">
        <w:rPr>
          <w:b/>
          <w:i w:val="0"/>
          <w:color w:val="auto"/>
        </w:rPr>
        <w:fldChar w:fldCharType="begin"/>
      </w:r>
      <w:r w:rsidRPr="00952D55">
        <w:rPr>
          <w:b/>
          <w:i w:val="0"/>
          <w:color w:val="auto"/>
        </w:rPr>
        <w:instrText xml:space="preserve"> SEQ Table \* ARABIC </w:instrText>
      </w:r>
      <w:r w:rsidRPr="00952D55">
        <w:rPr>
          <w:b/>
          <w:i w:val="0"/>
          <w:color w:val="auto"/>
        </w:rPr>
        <w:fldChar w:fldCharType="separate"/>
      </w:r>
      <w:r w:rsidRPr="00952D55">
        <w:rPr>
          <w:b/>
          <w:i w:val="0"/>
          <w:noProof/>
          <w:color w:val="auto"/>
        </w:rPr>
        <w:t>1</w:t>
      </w:r>
      <w:r w:rsidRPr="00952D55">
        <w:rPr>
          <w:b/>
          <w:i w:val="0"/>
          <w:color w:val="auto"/>
        </w:rPr>
        <w:fldChar w:fldCharType="end"/>
      </w:r>
      <w:r w:rsidRPr="00952D55">
        <w:rPr>
          <w:b/>
          <w:i w:val="0"/>
          <w:color w:val="auto"/>
        </w:rPr>
        <w:t xml:space="preserve">. Pros and cons of measurements based on NTN-conditions. </w:t>
      </w:r>
    </w:p>
    <w:tbl>
      <w:tblPr>
        <w:tblStyle w:val="TableGrid"/>
        <w:tblW w:w="0" w:type="auto"/>
        <w:tblLook w:val="04A0" w:firstRow="1" w:lastRow="0" w:firstColumn="1" w:lastColumn="0" w:noHBand="0" w:noVBand="1"/>
      </w:tblPr>
      <w:tblGrid>
        <w:gridCol w:w="1413"/>
        <w:gridCol w:w="3118"/>
        <w:gridCol w:w="2692"/>
        <w:gridCol w:w="2408"/>
      </w:tblGrid>
      <w:tr w:rsidR="007304B2" w14:paraId="4EB70EC4" w14:textId="77777777" w:rsidTr="0041304C">
        <w:tc>
          <w:tcPr>
            <w:tcW w:w="1413" w:type="dxa"/>
            <w:shd w:val="clear" w:color="auto" w:fill="E7E6E6" w:themeFill="background2"/>
          </w:tcPr>
          <w:p w14:paraId="17390EB6" w14:textId="77777777" w:rsidR="007304B2" w:rsidRPr="007304B2" w:rsidRDefault="007304B2" w:rsidP="0018139B">
            <w:pPr>
              <w:rPr>
                <w:sz w:val="18"/>
                <w:lang w:eastAsia="en-US"/>
              </w:rPr>
            </w:pPr>
          </w:p>
        </w:tc>
        <w:tc>
          <w:tcPr>
            <w:tcW w:w="3118" w:type="dxa"/>
            <w:shd w:val="clear" w:color="auto" w:fill="E7E6E6" w:themeFill="background2"/>
          </w:tcPr>
          <w:p w14:paraId="02F62B52" w14:textId="6F8BCF44" w:rsidR="007304B2" w:rsidRPr="004E236C" w:rsidRDefault="007304B2" w:rsidP="0018139B">
            <w:pPr>
              <w:rPr>
                <w:b/>
                <w:sz w:val="18"/>
                <w:lang w:eastAsia="en-US"/>
              </w:rPr>
            </w:pPr>
            <w:r w:rsidRPr="004E236C">
              <w:rPr>
                <w:b/>
                <w:sz w:val="18"/>
                <w:lang w:eastAsia="en-US"/>
              </w:rPr>
              <w:t>Reasons for introducing the enhancements</w:t>
            </w:r>
          </w:p>
        </w:tc>
        <w:tc>
          <w:tcPr>
            <w:tcW w:w="2692" w:type="dxa"/>
            <w:shd w:val="clear" w:color="auto" w:fill="E7E6E6" w:themeFill="background2"/>
          </w:tcPr>
          <w:p w14:paraId="2261A6C9" w14:textId="5D11B78F" w:rsidR="007304B2" w:rsidRPr="004E236C" w:rsidRDefault="004E236C" w:rsidP="0018139B">
            <w:pPr>
              <w:rPr>
                <w:b/>
                <w:sz w:val="18"/>
                <w:lang w:eastAsia="en-US"/>
              </w:rPr>
            </w:pPr>
            <w:r w:rsidRPr="004E236C">
              <w:rPr>
                <w:b/>
                <w:sz w:val="18"/>
                <w:lang w:eastAsia="en-US"/>
              </w:rPr>
              <w:t>Arguments for</w:t>
            </w:r>
          </w:p>
        </w:tc>
        <w:tc>
          <w:tcPr>
            <w:tcW w:w="2408" w:type="dxa"/>
            <w:shd w:val="clear" w:color="auto" w:fill="E7E6E6" w:themeFill="background2"/>
          </w:tcPr>
          <w:p w14:paraId="38E89C0A" w14:textId="25D5E179" w:rsidR="007304B2" w:rsidRPr="004E236C" w:rsidRDefault="004E236C" w:rsidP="0018139B">
            <w:pPr>
              <w:rPr>
                <w:b/>
                <w:sz w:val="18"/>
                <w:lang w:eastAsia="en-US"/>
              </w:rPr>
            </w:pPr>
            <w:r w:rsidRPr="004E236C">
              <w:rPr>
                <w:b/>
                <w:sz w:val="18"/>
                <w:lang w:eastAsia="en-US"/>
              </w:rPr>
              <w:t>Arguments against</w:t>
            </w:r>
          </w:p>
        </w:tc>
      </w:tr>
      <w:tr w:rsidR="007304B2" w14:paraId="74FFF57C" w14:textId="77777777" w:rsidTr="0041304C">
        <w:tc>
          <w:tcPr>
            <w:tcW w:w="1413" w:type="dxa"/>
            <w:shd w:val="clear" w:color="auto" w:fill="DEEAF6" w:themeFill="accent1" w:themeFillTint="33"/>
          </w:tcPr>
          <w:p w14:paraId="5FBE4B98" w14:textId="06705B9A" w:rsidR="007304B2" w:rsidRPr="004E236C" w:rsidRDefault="007304B2" w:rsidP="0018139B">
            <w:pPr>
              <w:rPr>
                <w:b/>
                <w:sz w:val="18"/>
                <w:lang w:eastAsia="en-US"/>
              </w:rPr>
            </w:pPr>
            <w:r w:rsidRPr="004E236C">
              <w:rPr>
                <w:b/>
                <w:sz w:val="18"/>
                <w:lang w:eastAsia="en-US"/>
              </w:rPr>
              <w:t>NB-IoT</w:t>
            </w:r>
          </w:p>
        </w:tc>
        <w:tc>
          <w:tcPr>
            <w:tcW w:w="3118" w:type="dxa"/>
          </w:tcPr>
          <w:p w14:paraId="2266F09E" w14:textId="350951ED" w:rsidR="007304B2" w:rsidRPr="007304B2" w:rsidRDefault="007304B2" w:rsidP="0018139B">
            <w:pPr>
              <w:rPr>
                <w:sz w:val="18"/>
                <w:lang w:eastAsia="en-US"/>
              </w:rPr>
            </w:pPr>
            <w:r w:rsidRPr="007304B2">
              <w:rPr>
                <w:sz w:val="18"/>
                <w:lang w:eastAsia="en-US"/>
              </w:rPr>
              <w:t>Triggering neighbour cell measurements when needed in non-terrestrial network</w:t>
            </w:r>
            <w:r>
              <w:rPr>
                <w:sz w:val="18"/>
                <w:lang w:eastAsia="en-US"/>
              </w:rPr>
              <w:t xml:space="preserve"> to make RLF-based mobility more efficient</w:t>
            </w:r>
          </w:p>
        </w:tc>
        <w:tc>
          <w:tcPr>
            <w:tcW w:w="2692" w:type="dxa"/>
          </w:tcPr>
          <w:p w14:paraId="5E488B72" w14:textId="5D1D3ADD" w:rsidR="007304B2" w:rsidRPr="007304B2" w:rsidRDefault="007304B2" w:rsidP="0018139B">
            <w:pPr>
              <w:rPr>
                <w:sz w:val="18"/>
                <w:lang w:eastAsia="en-US"/>
              </w:rPr>
            </w:pPr>
            <w:r w:rsidRPr="007304B2">
              <w:rPr>
                <w:sz w:val="18"/>
                <w:lang w:eastAsia="en-US"/>
              </w:rPr>
              <w:t>- The current neighbour cell measurement criteria is unlikely to function well</w:t>
            </w:r>
            <w:r>
              <w:rPr>
                <w:sz w:val="18"/>
                <w:lang w:eastAsia="en-US"/>
              </w:rPr>
              <w:t xml:space="preserve"> in a non-terrestrial network</w:t>
            </w:r>
          </w:p>
          <w:p w14:paraId="466F4A29" w14:textId="0112F699" w:rsidR="007304B2" w:rsidRPr="007304B2" w:rsidRDefault="007304B2" w:rsidP="0018139B">
            <w:pPr>
              <w:rPr>
                <w:sz w:val="18"/>
                <w:lang w:eastAsia="en-US"/>
              </w:rPr>
            </w:pPr>
            <w:r>
              <w:rPr>
                <w:sz w:val="18"/>
                <w:lang w:eastAsia="en-US"/>
              </w:rPr>
              <w:t>- There are no</w:t>
            </w:r>
            <w:r w:rsidR="00600A62">
              <w:rPr>
                <w:sz w:val="18"/>
                <w:lang w:eastAsia="en-US"/>
              </w:rPr>
              <w:t xml:space="preserve"> connected mode</w:t>
            </w:r>
            <w:r>
              <w:rPr>
                <w:sz w:val="18"/>
                <w:lang w:eastAsia="en-US"/>
              </w:rPr>
              <w:t xml:space="preserve"> neighbour cell measurements in NB-IoT NTN </w:t>
            </w:r>
          </w:p>
        </w:tc>
        <w:tc>
          <w:tcPr>
            <w:tcW w:w="2408" w:type="dxa"/>
          </w:tcPr>
          <w:p w14:paraId="5A5CA190" w14:textId="77777777" w:rsidR="007304B2" w:rsidRDefault="004E236C" w:rsidP="0018139B">
            <w:pPr>
              <w:rPr>
                <w:sz w:val="18"/>
                <w:lang w:eastAsia="en-US"/>
              </w:rPr>
            </w:pPr>
            <w:r>
              <w:rPr>
                <w:sz w:val="18"/>
                <w:lang w:eastAsia="en-US"/>
              </w:rPr>
              <w:t>- With traffic model of small packets it is likely that mobility may not be needed in most cases</w:t>
            </w:r>
          </w:p>
          <w:p w14:paraId="6229B48A" w14:textId="14D83A12" w:rsidR="004E236C" w:rsidRPr="007304B2" w:rsidRDefault="004E236C" w:rsidP="0018139B">
            <w:pPr>
              <w:rPr>
                <w:sz w:val="18"/>
                <w:lang w:eastAsia="en-US"/>
              </w:rPr>
            </w:pPr>
            <w:r>
              <w:rPr>
                <w:sz w:val="18"/>
                <w:lang w:eastAsia="en-US"/>
              </w:rPr>
              <w:t>- Neighbour cell measurements may take a lot of time</w:t>
            </w:r>
          </w:p>
        </w:tc>
      </w:tr>
      <w:tr w:rsidR="007304B2" w14:paraId="28E665BD" w14:textId="77777777" w:rsidTr="0041304C">
        <w:tc>
          <w:tcPr>
            <w:tcW w:w="1413" w:type="dxa"/>
            <w:shd w:val="clear" w:color="auto" w:fill="DEEAF6" w:themeFill="accent1" w:themeFillTint="33"/>
          </w:tcPr>
          <w:p w14:paraId="1A7990B5" w14:textId="5A5AFDCD" w:rsidR="007304B2" w:rsidRPr="004E236C" w:rsidRDefault="007304B2" w:rsidP="0018139B">
            <w:pPr>
              <w:rPr>
                <w:b/>
                <w:sz w:val="18"/>
                <w:lang w:eastAsia="en-US"/>
              </w:rPr>
            </w:pPr>
            <w:r w:rsidRPr="004E236C">
              <w:rPr>
                <w:b/>
                <w:sz w:val="18"/>
                <w:lang w:eastAsia="en-US"/>
              </w:rPr>
              <w:t>eMTC</w:t>
            </w:r>
          </w:p>
        </w:tc>
        <w:tc>
          <w:tcPr>
            <w:tcW w:w="3118" w:type="dxa"/>
          </w:tcPr>
          <w:p w14:paraId="44B13091" w14:textId="4C022AD6" w:rsidR="007304B2" w:rsidRPr="007304B2" w:rsidRDefault="007304B2" w:rsidP="0018139B">
            <w:pPr>
              <w:rPr>
                <w:sz w:val="18"/>
                <w:lang w:eastAsia="en-US"/>
              </w:rPr>
            </w:pPr>
            <w:r>
              <w:rPr>
                <w:sz w:val="18"/>
                <w:lang w:eastAsia="en-US"/>
              </w:rPr>
              <w:t>Power savings as UE does not have to perform neighbour cell measurements</w:t>
            </w:r>
            <w:r w:rsidR="00457432">
              <w:rPr>
                <w:sz w:val="18"/>
                <w:lang w:eastAsia="en-US"/>
              </w:rPr>
              <w:t xml:space="preserve"> in some cases</w:t>
            </w:r>
            <w:r w:rsidR="00D552ED">
              <w:rPr>
                <w:sz w:val="18"/>
                <w:lang w:eastAsia="en-US"/>
              </w:rPr>
              <w:t xml:space="preserve">. </w:t>
            </w:r>
            <w:r w:rsidR="00D552ED" w:rsidRPr="008961F0">
              <w:rPr>
                <w:color w:val="FF0000"/>
                <w:sz w:val="18"/>
                <w:lang w:eastAsia="en-US"/>
              </w:rPr>
              <w:t xml:space="preserve">Compared </w:t>
            </w:r>
            <w:r w:rsidR="0015006E" w:rsidRPr="008961F0">
              <w:rPr>
                <w:color w:val="FF0000"/>
                <w:sz w:val="18"/>
                <w:lang w:eastAsia="en-US"/>
              </w:rPr>
              <w:t xml:space="preserve">to Rel-17, which has no standard-supported neighbour cell measurements, this may bridge the gap to rel-18 with neighbour cell measurements. </w:t>
            </w:r>
          </w:p>
        </w:tc>
        <w:tc>
          <w:tcPr>
            <w:tcW w:w="2692" w:type="dxa"/>
          </w:tcPr>
          <w:p w14:paraId="6FB7FE9D" w14:textId="384C7E25" w:rsidR="007304B2" w:rsidRPr="007304B2" w:rsidRDefault="007304B2" w:rsidP="0018139B">
            <w:pPr>
              <w:rPr>
                <w:sz w:val="18"/>
                <w:lang w:eastAsia="en-US"/>
              </w:rPr>
            </w:pPr>
            <w:r>
              <w:rPr>
                <w:sz w:val="18"/>
                <w:lang w:eastAsia="en-US"/>
              </w:rPr>
              <w:t>- Triggering neighbour cell measurements</w:t>
            </w:r>
            <w:r w:rsidR="00600A62">
              <w:rPr>
                <w:sz w:val="18"/>
                <w:lang w:eastAsia="en-US"/>
              </w:rPr>
              <w:t xml:space="preserve"> with specific conditions</w:t>
            </w:r>
            <w:r w:rsidR="004E236C">
              <w:rPr>
                <w:sz w:val="18"/>
                <w:lang w:eastAsia="en-US"/>
              </w:rPr>
              <w:t xml:space="preserve"> can support energy savings</w:t>
            </w:r>
          </w:p>
        </w:tc>
        <w:tc>
          <w:tcPr>
            <w:tcW w:w="2408" w:type="dxa"/>
          </w:tcPr>
          <w:p w14:paraId="06B486AA" w14:textId="5B9AE31D" w:rsidR="007304B2" w:rsidRDefault="00457432" w:rsidP="0018139B">
            <w:pPr>
              <w:rPr>
                <w:sz w:val="18"/>
                <w:lang w:eastAsia="en-US"/>
              </w:rPr>
            </w:pPr>
            <w:r>
              <w:rPr>
                <w:sz w:val="18"/>
                <w:lang w:eastAsia="en-US"/>
              </w:rPr>
              <w:t xml:space="preserve">- </w:t>
            </w:r>
            <w:r w:rsidR="007304B2">
              <w:rPr>
                <w:sz w:val="18"/>
                <w:lang w:eastAsia="en-US"/>
              </w:rPr>
              <w:t>eMTC</w:t>
            </w:r>
            <w:r w:rsidR="00600A62">
              <w:rPr>
                <w:sz w:val="18"/>
                <w:lang w:eastAsia="en-US"/>
              </w:rPr>
              <w:t xml:space="preserve"> connected mode mobility</w:t>
            </w:r>
            <w:r w:rsidR="007304B2">
              <w:rPr>
                <w:sz w:val="18"/>
                <w:lang w:eastAsia="en-US"/>
              </w:rPr>
              <w:t xml:space="preserve"> is not based on RLF, but rather handovers </w:t>
            </w:r>
          </w:p>
          <w:p w14:paraId="5CA10916" w14:textId="2B1823DF" w:rsidR="007304B2" w:rsidRPr="007304B2" w:rsidRDefault="007304B2" w:rsidP="0018139B">
            <w:pPr>
              <w:rPr>
                <w:sz w:val="18"/>
                <w:lang w:eastAsia="en-US"/>
              </w:rPr>
            </w:pPr>
            <w:r>
              <w:rPr>
                <w:sz w:val="18"/>
                <w:lang w:eastAsia="en-US"/>
              </w:rPr>
              <w:t>- Connected mode measurements are configured dedicatedly, thus the network may only configure neighbour cell measurements when</w:t>
            </w:r>
            <w:r w:rsidR="0041304C">
              <w:rPr>
                <w:sz w:val="18"/>
                <w:lang w:eastAsia="en-US"/>
              </w:rPr>
              <w:t xml:space="preserve"> deemed</w:t>
            </w:r>
            <w:r>
              <w:rPr>
                <w:sz w:val="18"/>
                <w:lang w:eastAsia="en-US"/>
              </w:rPr>
              <w:t xml:space="preserve"> needed</w:t>
            </w:r>
          </w:p>
        </w:tc>
      </w:tr>
    </w:tbl>
    <w:p w14:paraId="4CC4248C" w14:textId="1BBAFA3C" w:rsidR="00016031" w:rsidRDefault="00016031" w:rsidP="0018139B">
      <w:pPr>
        <w:rPr>
          <w:lang w:eastAsia="en-US"/>
        </w:rPr>
      </w:pPr>
    </w:p>
    <w:p w14:paraId="083F6D5A" w14:textId="7016520A" w:rsidR="00D552ED" w:rsidRDefault="00D552ED" w:rsidP="0018139B">
      <w:pPr>
        <w:rPr>
          <w:lang w:eastAsia="en-US"/>
        </w:rPr>
      </w:pPr>
      <w:r>
        <w:rPr>
          <w:lang w:eastAsia="en-US"/>
        </w:rPr>
        <w:t xml:space="preserve">One further benefit of introducing the measurement triggering for eMTC is that the power saving of performing measurements can be reduced. This is especially important as neighbour cell measurements are not standard-supported in Rel-17. This means that the if neighbour cell measurements are introduced by acquiring neighbouring cell ephemeris for Rel-18, then there is a risk that the power consumption compared to Rel-17 will be a lot larger. </w:t>
      </w:r>
    </w:p>
    <w:p w14:paraId="3EE41884" w14:textId="40A490CC" w:rsidR="00EA7523" w:rsidRPr="00EA7523" w:rsidRDefault="00EA7523" w:rsidP="00EA7523">
      <w:pPr>
        <w:jc w:val="both"/>
        <w:rPr>
          <w:b/>
        </w:rPr>
      </w:pPr>
      <w:r>
        <w:rPr>
          <w:b/>
        </w:rPr>
        <w:t>Observati</w:t>
      </w:r>
      <w:r w:rsidR="00B25D3B">
        <w:rPr>
          <w:b/>
        </w:rPr>
        <w:t>on 2</w:t>
      </w:r>
      <w:r>
        <w:rPr>
          <w:b/>
        </w:rPr>
        <w:t xml:space="preserve">: </w:t>
      </w:r>
      <w:r w:rsidR="00CF1441">
        <w:rPr>
          <w:b/>
        </w:rPr>
        <w:t xml:space="preserve">Trigger-based neighbour cell measurements can bridge the increased power consumption in Rel-18 compared to Rel-17. </w:t>
      </w:r>
    </w:p>
    <w:p w14:paraId="4EF19292" w14:textId="078BBBF7" w:rsidR="00174398" w:rsidRPr="00534672" w:rsidRDefault="00174398" w:rsidP="00174398">
      <w:pPr>
        <w:jc w:val="both"/>
        <w:rPr>
          <w:b/>
        </w:rPr>
      </w:pPr>
      <w:r>
        <w:rPr>
          <w:b/>
        </w:rPr>
        <w:t xml:space="preserve">Proposal </w:t>
      </w:r>
      <w:r w:rsidR="00B35947">
        <w:rPr>
          <w:b/>
        </w:rPr>
        <w:t>4</w:t>
      </w:r>
      <w:r>
        <w:rPr>
          <w:b/>
        </w:rPr>
        <w:t>: Introduce the same measurement triggers as for NB-IoT for eMTC, but for power saving purposes.</w:t>
      </w:r>
    </w:p>
    <w:p w14:paraId="5CBFECA1" w14:textId="76D3D177" w:rsidR="00741328" w:rsidRDefault="0018139B" w:rsidP="0018139B">
      <w:pPr>
        <w:rPr>
          <w:lang w:val="en-GB" w:eastAsia="en-US"/>
        </w:rPr>
      </w:pPr>
      <w:r>
        <w:rPr>
          <w:lang w:val="en-GB" w:eastAsia="en-US"/>
        </w:rPr>
        <w:t>For a</w:t>
      </w:r>
      <w:r w:rsidR="00214906">
        <w:rPr>
          <w:lang w:val="en-GB" w:eastAsia="en-US"/>
        </w:rPr>
        <w:t>n</w:t>
      </w:r>
      <w:r>
        <w:rPr>
          <w:lang w:val="en-GB" w:eastAsia="en-US"/>
        </w:rPr>
        <w:t xml:space="preserve"> NB-IoT UE to perfor</w:t>
      </w:r>
      <w:r w:rsidR="003E06FD">
        <w:rPr>
          <w:lang w:val="en-GB" w:eastAsia="en-US"/>
        </w:rPr>
        <w:t>m neighbour cell measurements</w:t>
      </w:r>
      <w:r>
        <w:rPr>
          <w:lang w:val="en-GB" w:eastAsia="en-US"/>
        </w:rPr>
        <w:t xml:space="preserve"> will be a rather time-consuming process involving performing lengthy measurements that in some cases may take a very long time</w:t>
      </w:r>
      <w:r w:rsidR="00D24051">
        <w:rPr>
          <w:lang w:val="en-GB" w:eastAsia="en-US"/>
        </w:rPr>
        <w:t>. The UE may also have to</w:t>
      </w:r>
      <w:r>
        <w:rPr>
          <w:lang w:val="en-GB" w:eastAsia="en-US"/>
        </w:rPr>
        <w:t xml:space="preserve"> acquir</w:t>
      </w:r>
      <w:r w:rsidR="00D24051">
        <w:rPr>
          <w:lang w:val="en-GB" w:eastAsia="en-US"/>
        </w:rPr>
        <w:t>e</w:t>
      </w:r>
      <w:r>
        <w:rPr>
          <w:lang w:val="en-GB" w:eastAsia="en-US"/>
        </w:rPr>
        <w:t xml:space="preserve"> neighbour cell ephemeris and synchroniz</w:t>
      </w:r>
      <w:r w:rsidR="00D24051">
        <w:rPr>
          <w:lang w:val="en-GB" w:eastAsia="en-US"/>
        </w:rPr>
        <w:t>e</w:t>
      </w:r>
      <w:r>
        <w:rPr>
          <w:lang w:val="en-GB" w:eastAsia="en-US"/>
        </w:rPr>
        <w:t xml:space="preserve"> to the moving neighbouring cells to measure them. </w:t>
      </w:r>
      <w:r w:rsidR="003E06FD">
        <w:rPr>
          <w:lang w:val="en-GB" w:eastAsia="en-US"/>
        </w:rPr>
        <w:t>In many use cases, performing these measurements will not be necessary as the most common IoT use case is</w:t>
      </w:r>
      <w:r w:rsidR="00D24051">
        <w:rPr>
          <w:lang w:val="en-GB" w:eastAsia="en-US"/>
        </w:rPr>
        <w:t xml:space="preserve"> to</w:t>
      </w:r>
      <w:r w:rsidR="003E06FD">
        <w:rPr>
          <w:lang w:val="en-GB" w:eastAsia="en-US"/>
        </w:rPr>
        <w:t xml:space="preserve"> deliver very small packets. Thus to enable power savings, it should be possible for device</w:t>
      </w:r>
      <w:r w:rsidR="00741328">
        <w:rPr>
          <w:lang w:val="en-GB" w:eastAsia="en-US"/>
        </w:rPr>
        <w:t>s to not perform these actions in an NTN network even if the conditions as</w:t>
      </w:r>
      <w:r w:rsidR="00D33CDF">
        <w:rPr>
          <w:lang w:val="en-GB" w:eastAsia="en-US"/>
        </w:rPr>
        <w:t xml:space="preserve"> RAN2</w:t>
      </w:r>
      <w:r w:rsidR="00741328">
        <w:rPr>
          <w:lang w:val="en-GB" w:eastAsia="en-US"/>
        </w:rPr>
        <w:t xml:space="preserve"> are currently</w:t>
      </w:r>
      <w:r w:rsidR="00D33CDF">
        <w:rPr>
          <w:lang w:val="en-GB" w:eastAsia="en-US"/>
        </w:rPr>
        <w:t xml:space="preserve"> discussing</w:t>
      </w:r>
      <w:r w:rsidR="00741328">
        <w:rPr>
          <w:lang w:val="en-GB" w:eastAsia="en-US"/>
        </w:rPr>
        <w:t xml:space="preserve"> are fulfilled. Thus we propose that RAN2 should consider other conditions for not considering to perform neighbour cell measurements. </w:t>
      </w:r>
    </w:p>
    <w:p w14:paraId="2201B3A7" w14:textId="664C9EE2" w:rsidR="00216998" w:rsidRDefault="002772A6" w:rsidP="00534672">
      <w:pPr>
        <w:jc w:val="both"/>
        <w:rPr>
          <w:b/>
        </w:rPr>
      </w:pPr>
      <w:r>
        <w:rPr>
          <w:b/>
        </w:rPr>
        <w:t xml:space="preserve">Proposal </w:t>
      </w:r>
      <w:r w:rsidR="00B35947">
        <w:rPr>
          <w:b/>
        </w:rPr>
        <w:t>5</w:t>
      </w:r>
      <w:r>
        <w:rPr>
          <w:b/>
        </w:rPr>
        <w:t>:</w:t>
      </w:r>
      <w:r w:rsidR="00534672">
        <w:rPr>
          <w:b/>
        </w:rPr>
        <w:t xml:space="preserve"> RAN2 to consider </w:t>
      </w:r>
      <w:r w:rsidR="00722548">
        <w:rPr>
          <w:b/>
        </w:rPr>
        <w:t>use case-based</w:t>
      </w:r>
      <w:r w:rsidR="002334A8">
        <w:rPr>
          <w:b/>
        </w:rPr>
        <w:t xml:space="preserve"> / traffic-based</w:t>
      </w:r>
      <w:r w:rsidR="00534672">
        <w:rPr>
          <w:b/>
        </w:rPr>
        <w:t xml:space="preserve"> conditions for not performing neighbour cell measurements.</w:t>
      </w:r>
    </w:p>
    <w:p w14:paraId="11331A4B" w14:textId="77777777" w:rsidR="006C13E8" w:rsidRDefault="006C13E8" w:rsidP="006C13E8">
      <w:pPr>
        <w:jc w:val="both"/>
      </w:pPr>
      <w:r>
        <w:t xml:space="preserve">It was also discussed last meeting whether the reference location, distance threshold and cell stop time should be introduced for neighbour cell. However, for it is not clear how this is to be used. For the neighbour cell measurement triggering, the conditions as currently discussed all depend on the serving cell. We thus think that to keep the measurement triggering simple, that these are not included in the algorithm. This we propose: </w:t>
      </w:r>
    </w:p>
    <w:p w14:paraId="6641D591" w14:textId="1317CA9F" w:rsidR="006C13E8" w:rsidRPr="00534672" w:rsidRDefault="006C13E8" w:rsidP="00534672">
      <w:pPr>
        <w:jc w:val="both"/>
        <w:rPr>
          <w:b/>
        </w:rPr>
      </w:pPr>
      <w:r>
        <w:rPr>
          <w:b/>
        </w:rPr>
        <w:t>Proposal 6: Reference location and distance threshold for moving cell and cell stop time of neighbouring cell are not used for neighbour cell measurement triggering and thus not broadcasted.</w:t>
      </w:r>
    </w:p>
    <w:p w14:paraId="2A665769" w14:textId="41B4B8DD" w:rsidR="007C6BBA" w:rsidRDefault="007C6BBA">
      <w:pPr>
        <w:pStyle w:val="Heading2"/>
      </w:pPr>
      <w:r>
        <w:t>RLF procedures</w:t>
      </w:r>
    </w:p>
    <w:p w14:paraId="55536DFE" w14:textId="3F94277C" w:rsidR="007C6BBA" w:rsidRDefault="007C6BBA" w:rsidP="007C6BBA">
      <w:pPr>
        <w:pStyle w:val="PatentBody"/>
        <w:numPr>
          <w:ilvl w:val="0"/>
          <w:numId w:val="0"/>
        </w:numPr>
        <w:spacing w:after="180" w:line="240" w:lineRule="auto"/>
        <w:jc w:val="both"/>
        <w:rPr>
          <w:sz w:val="20"/>
        </w:rPr>
      </w:pPr>
      <w:r>
        <w:rPr>
          <w:sz w:val="20"/>
        </w:rPr>
        <w:t xml:space="preserve">The main mechanism for performing connected mode mobility for NB-IoT is through RLF and subsequently the RRC re-establishment procedures. The RRC re-establishment procedures allow for a UE to re-establish its connection to a cell, that may be the same cell or a new cell. During the re-establishment procedure, if the an eNB has the UE context, then the UE does not need to be reconfigured. If an eNB does not have the UE context </w:t>
      </w:r>
      <w:r w:rsidR="00980130">
        <w:rPr>
          <w:sz w:val="20"/>
        </w:rPr>
        <w:t>t</w:t>
      </w:r>
      <w:r>
        <w:rPr>
          <w:sz w:val="20"/>
        </w:rPr>
        <w:t>hen there are two alternatives, either the eNB replies with a</w:t>
      </w:r>
      <w:r w:rsidR="00980130">
        <w:rPr>
          <w:sz w:val="20"/>
        </w:rPr>
        <w:t>n</w:t>
      </w:r>
      <w:r>
        <w:rPr>
          <w:sz w:val="20"/>
        </w:rPr>
        <w:t xml:space="preserve"> </w:t>
      </w:r>
      <w:r w:rsidRPr="00980130">
        <w:rPr>
          <w:i/>
          <w:sz w:val="20"/>
        </w:rPr>
        <w:t>RRCSetup</w:t>
      </w:r>
      <w:r>
        <w:rPr>
          <w:sz w:val="20"/>
        </w:rPr>
        <w:t xml:space="preserve"> or the eNB may request the UE context from the eNB that the</w:t>
      </w:r>
      <w:r w:rsidR="004E22ED">
        <w:rPr>
          <w:sz w:val="20"/>
        </w:rPr>
        <w:t xml:space="preserve"> UE was connected to in the previously</w:t>
      </w:r>
      <w:r>
        <w:rPr>
          <w:sz w:val="20"/>
        </w:rPr>
        <w:t xml:space="preserve">. </w:t>
      </w:r>
      <w:r w:rsidR="001226A2">
        <w:rPr>
          <w:sz w:val="20"/>
        </w:rPr>
        <w:t xml:space="preserve">This procedure will be greatly useful for the RLF procedures in an NB-IoT Non-Terrestrial Network. </w:t>
      </w:r>
      <w:r>
        <w:rPr>
          <w:sz w:val="20"/>
        </w:rPr>
        <w:t xml:space="preserve"> All together this can be seen in Figure 1.</w:t>
      </w:r>
    </w:p>
    <w:p w14:paraId="7CAF8043" w14:textId="77777777" w:rsidR="007C6BBA" w:rsidRDefault="007C6BBA" w:rsidP="007C6BBA">
      <w:pPr>
        <w:pStyle w:val="PatentBody"/>
        <w:numPr>
          <w:ilvl w:val="0"/>
          <w:numId w:val="0"/>
        </w:numPr>
        <w:spacing w:after="180" w:line="240" w:lineRule="auto"/>
        <w:jc w:val="both"/>
        <w:rPr>
          <w:sz w:val="20"/>
        </w:rPr>
      </w:pPr>
    </w:p>
    <w:p w14:paraId="73D8861E" w14:textId="77777777" w:rsidR="007C6BBA" w:rsidRDefault="007C6BBA" w:rsidP="007C6BBA">
      <w:pPr>
        <w:pStyle w:val="PatentBody"/>
        <w:keepNext/>
        <w:numPr>
          <w:ilvl w:val="0"/>
          <w:numId w:val="0"/>
        </w:numPr>
        <w:spacing w:after="180" w:line="240" w:lineRule="auto"/>
        <w:jc w:val="center"/>
      </w:pPr>
      <w:r>
        <w:rPr>
          <w:noProof/>
          <w:sz w:val="20"/>
          <w:lang w:eastAsia="zh-CN"/>
        </w:rPr>
        <w:drawing>
          <wp:inline distT="0" distB="0" distL="0" distR="0" wp14:anchorId="6BC73069" wp14:editId="53990E13">
            <wp:extent cx="4924425" cy="4333875"/>
            <wp:effectExtent l="0" t="0" r="9525" b="9525"/>
            <wp:docPr id="1" name="Picture 1" descr="Re-establishment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establishment proced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4425" cy="4333875"/>
                    </a:xfrm>
                    <a:prstGeom prst="rect">
                      <a:avLst/>
                    </a:prstGeom>
                    <a:noFill/>
                    <a:ln>
                      <a:noFill/>
                    </a:ln>
                  </pic:spPr>
                </pic:pic>
              </a:graphicData>
            </a:graphic>
          </wp:inline>
        </w:drawing>
      </w:r>
    </w:p>
    <w:p w14:paraId="549E2FCC" w14:textId="77777777" w:rsidR="007C6BBA" w:rsidRDefault="007C6BBA" w:rsidP="007C6BBA">
      <w:pPr>
        <w:pStyle w:val="Caption"/>
        <w:jc w:val="center"/>
        <w:rPr>
          <w:b/>
          <w:i w:val="0"/>
          <w:color w:val="000000" w:themeColor="text1"/>
          <w:sz w:val="20"/>
        </w:rPr>
      </w:pPr>
      <w:r>
        <w:rPr>
          <w:b/>
          <w:i w:val="0"/>
          <w:color w:val="000000" w:themeColor="text1"/>
        </w:rPr>
        <w:t xml:space="preserve">Figure </w:t>
      </w:r>
      <w:r>
        <w:rPr>
          <w:b/>
          <w:i w:val="0"/>
          <w:color w:val="000000" w:themeColor="text1"/>
        </w:rPr>
        <w:fldChar w:fldCharType="begin"/>
      </w:r>
      <w:r>
        <w:rPr>
          <w:b/>
          <w:i w:val="0"/>
          <w:color w:val="000000" w:themeColor="text1"/>
        </w:rPr>
        <w:instrText xml:space="preserve"> SEQ Figure \* ARABIC </w:instrText>
      </w:r>
      <w:r>
        <w:rPr>
          <w:b/>
          <w:i w:val="0"/>
          <w:color w:val="000000" w:themeColor="text1"/>
        </w:rPr>
        <w:fldChar w:fldCharType="separate"/>
      </w:r>
      <w:r>
        <w:rPr>
          <w:b/>
          <w:i w:val="0"/>
          <w:noProof/>
          <w:color w:val="000000" w:themeColor="text1"/>
        </w:rPr>
        <w:t>1</w:t>
      </w:r>
      <w:r>
        <w:rPr>
          <w:b/>
          <w:i w:val="0"/>
          <w:color w:val="000000" w:themeColor="text1"/>
        </w:rPr>
        <w:fldChar w:fldCharType="end"/>
      </w:r>
      <w:r>
        <w:rPr>
          <w:b/>
          <w:i w:val="0"/>
          <w:color w:val="000000" w:themeColor="text1"/>
        </w:rPr>
        <w:t xml:space="preserve">. RRC Re-establishment procedures. </w:t>
      </w:r>
    </w:p>
    <w:p w14:paraId="37A1EC39" w14:textId="1CC38E16" w:rsidR="007C6BBA" w:rsidRDefault="00980130" w:rsidP="007C6BBA">
      <w:pPr>
        <w:pStyle w:val="PatentBody"/>
        <w:numPr>
          <w:ilvl w:val="0"/>
          <w:numId w:val="0"/>
        </w:numPr>
        <w:spacing w:after="180" w:line="240" w:lineRule="auto"/>
        <w:jc w:val="both"/>
        <w:rPr>
          <w:sz w:val="20"/>
        </w:rPr>
      </w:pPr>
      <w:r>
        <w:rPr>
          <w:sz w:val="20"/>
        </w:rPr>
        <w:t>The enhancements that are currently being discussed with regards to the neighbour cell measurements</w:t>
      </w:r>
      <w:r w:rsidR="00D40BB8">
        <w:rPr>
          <w:sz w:val="20"/>
        </w:rPr>
        <w:t xml:space="preserve"> </w:t>
      </w:r>
      <w:r w:rsidR="001F4157">
        <w:rPr>
          <w:sz w:val="20"/>
        </w:rPr>
        <w:t>are</w:t>
      </w:r>
      <w:r w:rsidR="00D40BB8">
        <w:rPr>
          <w:sz w:val="20"/>
        </w:rPr>
        <w:t xml:space="preserve"> targeted at improving the RLF procedures in </w:t>
      </w:r>
      <w:r>
        <w:rPr>
          <w:sz w:val="20"/>
        </w:rPr>
        <w:t>NB-</w:t>
      </w:r>
      <w:r w:rsidR="00D40BB8">
        <w:rPr>
          <w:sz w:val="20"/>
        </w:rPr>
        <w:t xml:space="preserve">IoT NTN. In order to improve these procedures, we think that the handling of the UE context </w:t>
      </w:r>
      <w:r w:rsidR="00EA63FC">
        <w:rPr>
          <w:sz w:val="20"/>
        </w:rPr>
        <w:t xml:space="preserve">can </w:t>
      </w:r>
      <w:r w:rsidR="00D40BB8">
        <w:rPr>
          <w:sz w:val="20"/>
        </w:rPr>
        <w:t>also be improved. On</w:t>
      </w:r>
      <w:r w:rsidR="00EA63FC">
        <w:rPr>
          <w:sz w:val="20"/>
        </w:rPr>
        <w:t>e</w:t>
      </w:r>
      <w:r w:rsidR="00D40BB8">
        <w:rPr>
          <w:sz w:val="20"/>
        </w:rPr>
        <w:t xml:space="preserve"> such enhancement is that the UE Context is sent in advance from an eNB that is aware of the potential future eNBs that a UE will connect to after an RLF is triggered. </w:t>
      </w:r>
      <w:r w:rsidR="00EE6E39">
        <w:rPr>
          <w:sz w:val="20"/>
        </w:rPr>
        <w:t>Thus we propose that RAN2 discuss how to improve NB-IoT RLF procedures by sending the UE context in advance:</w:t>
      </w:r>
    </w:p>
    <w:p w14:paraId="4D24BDC4" w14:textId="7BA67EB8" w:rsidR="007C6BBA" w:rsidRPr="001E2E76" w:rsidRDefault="00EE6E39" w:rsidP="001E2E76">
      <w:pPr>
        <w:jc w:val="both"/>
        <w:rPr>
          <w:b/>
        </w:rPr>
      </w:pPr>
      <w:r>
        <w:rPr>
          <w:b/>
        </w:rPr>
        <w:t xml:space="preserve">Proposal </w:t>
      </w:r>
      <w:r w:rsidR="008F6945">
        <w:rPr>
          <w:b/>
        </w:rPr>
        <w:t>7</w:t>
      </w:r>
      <w:r>
        <w:rPr>
          <w:b/>
        </w:rPr>
        <w:t>: RAN2 to discuss how to improve NB-IoT RLF procedures by sending UE context in advance.</w:t>
      </w:r>
    </w:p>
    <w:p w14:paraId="5FF2457F" w14:textId="72E1A9E3" w:rsidR="00A209D6" w:rsidRPr="006E13D1" w:rsidRDefault="008C3057" w:rsidP="003F11FC">
      <w:pPr>
        <w:pStyle w:val="Heading1"/>
        <w:jc w:val="both"/>
      </w:pPr>
      <w:r>
        <w:t>Conclusion</w:t>
      </w:r>
    </w:p>
    <w:p w14:paraId="6B206649" w14:textId="12FAAF74"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7217A0">
        <w:rPr>
          <w:lang w:eastAsia="ko-KR"/>
        </w:rPr>
        <w:t>enhancements for neighbour cell measurements</w:t>
      </w:r>
      <w:r w:rsidR="00944EC6">
        <w:rPr>
          <w:lang w:eastAsia="ko-KR"/>
        </w:rPr>
        <w:t xml:space="preserve">. </w:t>
      </w:r>
      <w:r w:rsidR="007217A0">
        <w:rPr>
          <w:lang w:eastAsia="ko-KR"/>
        </w:rPr>
        <w:t>We have the following observations and proposals:</w:t>
      </w:r>
    </w:p>
    <w:p w14:paraId="4962E19F" w14:textId="77777777" w:rsidR="00B35947" w:rsidRPr="00870576" w:rsidRDefault="00B35947" w:rsidP="00B35947">
      <w:pPr>
        <w:pStyle w:val="PatentBody"/>
        <w:numPr>
          <w:ilvl w:val="0"/>
          <w:numId w:val="0"/>
        </w:numPr>
        <w:spacing w:after="180" w:line="240" w:lineRule="auto"/>
        <w:jc w:val="both"/>
        <w:rPr>
          <w:b/>
          <w:sz w:val="20"/>
          <w:lang w:val="en-US"/>
        </w:rPr>
      </w:pPr>
      <w:r w:rsidRPr="00870576">
        <w:rPr>
          <w:b/>
          <w:sz w:val="20"/>
          <w:lang w:val="en-US"/>
        </w:rPr>
        <w:t xml:space="preserve">Observation 1: </w:t>
      </w:r>
      <w:r>
        <w:rPr>
          <w:b/>
          <w:sz w:val="20"/>
          <w:lang w:val="en-US"/>
        </w:rPr>
        <w:t>Explicit validity duration for new SIBxx may require new timers specifically for SIBxx and implicit validity duration may not require new timers</w:t>
      </w:r>
      <w:r w:rsidRPr="00870576">
        <w:rPr>
          <w:b/>
          <w:sz w:val="20"/>
          <w:lang w:val="en-US"/>
        </w:rPr>
        <w:t xml:space="preserve">. </w:t>
      </w:r>
    </w:p>
    <w:p w14:paraId="2EF7DBF6" w14:textId="77777777" w:rsidR="00B35947" w:rsidRPr="00EA7523" w:rsidRDefault="00B35947" w:rsidP="00B35947">
      <w:pPr>
        <w:jc w:val="both"/>
        <w:rPr>
          <w:b/>
        </w:rPr>
      </w:pPr>
      <w:r>
        <w:rPr>
          <w:b/>
        </w:rPr>
        <w:t xml:space="preserve">Observation 2: Trigger-based neighbour cell measurements can bridge the increased power consumption in Rel-18 compared to Rel-17. </w:t>
      </w:r>
    </w:p>
    <w:p w14:paraId="119F1B5C" w14:textId="77777777" w:rsidR="007217A0" w:rsidRPr="00F97E01" w:rsidRDefault="007217A0" w:rsidP="00572337">
      <w:pPr>
        <w:spacing w:after="60"/>
        <w:rPr>
          <w:lang w:eastAsia="ko-KR"/>
        </w:rPr>
      </w:pPr>
    </w:p>
    <w:p w14:paraId="185C88AE" w14:textId="77777777" w:rsidR="00A70838" w:rsidRPr="00027970" w:rsidRDefault="00A70838" w:rsidP="00A70838">
      <w:pPr>
        <w:jc w:val="both"/>
        <w:rPr>
          <w:b/>
        </w:rPr>
      </w:pPr>
      <w:r>
        <w:rPr>
          <w:b/>
        </w:rPr>
        <w:t xml:space="preserve">Proposal 1: </w:t>
      </w:r>
      <w:r w:rsidRPr="0024157F">
        <w:rPr>
          <w:b/>
          <w:i/>
        </w:rPr>
        <w:t>satelliteId</w:t>
      </w:r>
      <w:r>
        <w:rPr>
          <w:b/>
        </w:rPr>
        <w:t xml:space="preserve"> is introduced in/alongside (as a parallel list) information elements </w:t>
      </w:r>
      <w:r w:rsidRPr="00027970">
        <w:rPr>
          <w:b/>
          <w:i/>
        </w:rPr>
        <w:t>IntraFreqNeighCellInfo</w:t>
      </w:r>
      <w:r>
        <w:rPr>
          <w:b/>
        </w:rPr>
        <w:t xml:space="preserve"> in SIB4(-NB) or </w:t>
      </w:r>
      <w:r w:rsidRPr="00027970">
        <w:rPr>
          <w:b/>
          <w:i/>
        </w:rPr>
        <w:t>InterFreqCarrierFreqInfo</w:t>
      </w:r>
      <w:r>
        <w:rPr>
          <w:b/>
        </w:rPr>
        <w:t xml:space="preserve"> in SIB5(-NB).</w:t>
      </w:r>
    </w:p>
    <w:p w14:paraId="686E35E6" w14:textId="77777777" w:rsidR="00B35947" w:rsidRDefault="00B35947" w:rsidP="00B35947">
      <w:pPr>
        <w:jc w:val="both"/>
        <w:rPr>
          <w:b/>
        </w:rPr>
      </w:pPr>
      <w:r>
        <w:rPr>
          <w:b/>
        </w:rPr>
        <w:t>Proposal 2: Implicit validity duration, same as serving satellite validity, is assumed, i.e UE acquires SIBxx when it acquires SIB31 during T318.</w:t>
      </w:r>
    </w:p>
    <w:p w14:paraId="0F730E61" w14:textId="77777777" w:rsidR="006A26F7" w:rsidRPr="0016769C" w:rsidRDefault="006A26F7" w:rsidP="006A26F7">
      <w:pPr>
        <w:jc w:val="both"/>
        <w:rPr>
          <w:b/>
        </w:rPr>
      </w:pPr>
      <w:r>
        <w:rPr>
          <w:b/>
        </w:rPr>
        <w:t>Proposal 3: RAN2 to discuss how UE acquires target cell neighbour cell ephemeris during handovers.</w:t>
      </w:r>
    </w:p>
    <w:p w14:paraId="1E563F6A" w14:textId="77777777" w:rsidR="00B35947" w:rsidRPr="00534672" w:rsidRDefault="00B35947" w:rsidP="00B35947">
      <w:pPr>
        <w:jc w:val="both"/>
        <w:rPr>
          <w:b/>
        </w:rPr>
      </w:pPr>
      <w:r>
        <w:rPr>
          <w:b/>
        </w:rPr>
        <w:t>Proposal 4: Introduce the same measurement triggers as for NB-IoT for eMTC, but for power saving purposes.</w:t>
      </w:r>
    </w:p>
    <w:p w14:paraId="320FABAB" w14:textId="029924E2" w:rsidR="00B35947" w:rsidRDefault="00B35947" w:rsidP="00B35947">
      <w:pPr>
        <w:jc w:val="both"/>
        <w:rPr>
          <w:b/>
        </w:rPr>
      </w:pPr>
      <w:r>
        <w:rPr>
          <w:b/>
        </w:rPr>
        <w:t>Proposal 5: RAN2 to consider use case-based / traffic-based conditions for not performing neighbour cell measurements.</w:t>
      </w:r>
    </w:p>
    <w:p w14:paraId="4828B324" w14:textId="41B7447D" w:rsidR="008F6945" w:rsidRPr="00534672" w:rsidRDefault="008F6945" w:rsidP="00B35947">
      <w:pPr>
        <w:jc w:val="both"/>
        <w:rPr>
          <w:b/>
        </w:rPr>
      </w:pPr>
      <w:r>
        <w:rPr>
          <w:b/>
        </w:rPr>
        <w:t>Proposal 6: Reference location and distance threshold for moving cell and cell stop time of neighbouring cell are not used for neighbour cell measurement triggering and thus not broadcasted.</w:t>
      </w:r>
    </w:p>
    <w:p w14:paraId="20F8FAB3" w14:textId="47FF6B56" w:rsidR="00B35947" w:rsidRPr="001E2E76" w:rsidRDefault="00B35947" w:rsidP="00B35947">
      <w:pPr>
        <w:jc w:val="both"/>
        <w:rPr>
          <w:b/>
        </w:rPr>
      </w:pPr>
      <w:r>
        <w:rPr>
          <w:b/>
        </w:rPr>
        <w:t xml:space="preserve">Proposal </w:t>
      </w:r>
      <w:r w:rsidR="008F6945">
        <w:rPr>
          <w:b/>
        </w:rPr>
        <w:t>7</w:t>
      </w:r>
      <w:r>
        <w:rPr>
          <w:b/>
        </w:rPr>
        <w:t>: RAN2 to discuss how to improve NB-IoT RLF procedures by sending UE context in advance.</w:t>
      </w:r>
    </w:p>
    <w:p w14:paraId="6408D72B" w14:textId="59651DF4" w:rsidR="0083484D" w:rsidRPr="00FF7C4E" w:rsidRDefault="00051DF8" w:rsidP="0083484D">
      <w:pPr>
        <w:pStyle w:val="Heading1"/>
      </w:pPr>
      <w:r>
        <w:t>Reference</w:t>
      </w:r>
      <w:r w:rsidR="0083484D" w:rsidRPr="00001886">
        <w:t xml:space="preserve"> </w:t>
      </w:r>
    </w:p>
    <w:p w14:paraId="69C535A8" w14:textId="4DAD72D7" w:rsidR="00D32165" w:rsidRPr="00D32165" w:rsidRDefault="00D32165" w:rsidP="00405079">
      <w:pPr>
        <w:pStyle w:val="references"/>
        <w:spacing w:after="180" w:line="240" w:lineRule="auto"/>
        <w:rPr>
          <w:szCs w:val="20"/>
        </w:rPr>
      </w:pPr>
      <w:r>
        <w:rPr>
          <w:rFonts w:ascii="Arial" w:hAnsi="Arial" w:cs="Arial"/>
          <w:szCs w:val="20"/>
        </w:rPr>
        <w:t>RP-213596, New WID on IoT NTN enhancements, Mediatek Inc., RAN#94-e, December 2021</w:t>
      </w:r>
    </w:p>
    <w:p w14:paraId="40BAB3B2" w14:textId="08E56826" w:rsidR="00D32165" w:rsidRPr="005525D5" w:rsidRDefault="00D32165" w:rsidP="00405079">
      <w:pPr>
        <w:pStyle w:val="references"/>
        <w:spacing w:after="180" w:line="240" w:lineRule="auto"/>
        <w:rPr>
          <w:szCs w:val="20"/>
        </w:rPr>
      </w:pPr>
      <w:r>
        <w:rPr>
          <w:rFonts w:ascii="Arial" w:hAnsi="Arial" w:cs="Arial"/>
          <w:szCs w:val="20"/>
        </w:rPr>
        <w:t>RP-223519, Revised WID on IoT NTN enhancements, Mediatek Inc., RAN#98-e, December 2022</w:t>
      </w:r>
    </w:p>
    <w:p w14:paraId="3647F3EC" w14:textId="19346F7D" w:rsidR="005525D5" w:rsidRPr="00ED4FE8" w:rsidRDefault="007522E2" w:rsidP="00405079">
      <w:pPr>
        <w:pStyle w:val="references"/>
        <w:spacing w:after="180" w:line="240" w:lineRule="auto"/>
        <w:rPr>
          <w:szCs w:val="20"/>
        </w:rPr>
      </w:pPr>
      <w:r>
        <w:rPr>
          <w:rFonts w:ascii="Arial" w:hAnsi="Arial" w:cs="Arial"/>
          <w:szCs w:val="20"/>
        </w:rPr>
        <w:t>RAN#1</w:t>
      </w:r>
      <w:r w:rsidR="00D32165">
        <w:rPr>
          <w:rFonts w:ascii="Arial" w:hAnsi="Arial" w:cs="Arial"/>
          <w:szCs w:val="20"/>
        </w:rPr>
        <w:t>20</w:t>
      </w:r>
      <w:r>
        <w:rPr>
          <w:rFonts w:ascii="Arial" w:hAnsi="Arial" w:cs="Arial"/>
          <w:szCs w:val="20"/>
        </w:rPr>
        <w:t>-e</w:t>
      </w:r>
      <w:r w:rsidR="005525D5">
        <w:rPr>
          <w:rFonts w:ascii="Arial" w:hAnsi="Arial" w:cs="Arial"/>
          <w:szCs w:val="20"/>
        </w:rPr>
        <w:t xml:space="preserve"> Chairman’s notes. </w:t>
      </w:r>
    </w:p>
    <w:p w14:paraId="0BA5D705" w14:textId="567312F4" w:rsidR="00ED4FE8" w:rsidRPr="00ED4FE8" w:rsidRDefault="00ED4FE8" w:rsidP="00ED4FE8">
      <w:pPr>
        <w:pStyle w:val="references"/>
        <w:spacing w:after="180" w:line="240" w:lineRule="auto"/>
        <w:rPr>
          <w:szCs w:val="20"/>
        </w:rPr>
      </w:pPr>
      <w:r>
        <w:rPr>
          <w:rFonts w:ascii="Arial" w:hAnsi="Arial" w:cs="Arial"/>
          <w:szCs w:val="20"/>
        </w:rPr>
        <w:t xml:space="preserve">RAN#121-e Chairman’s notes. </w:t>
      </w:r>
    </w:p>
    <w:p w14:paraId="5723E6BD" w14:textId="1757C165" w:rsidR="0004383E" w:rsidRDefault="0004383E" w:rsidP="0004383E">
      <w:pPr>
        <w:rPr>
          <w:lang w:val="en-GB" w:eastAsia="en-US"/>
        </w:rPr>
      </w:pPr>
    </w:p>
    <w:p w14:paraId="1CA30647" w14:textId="35348951" w:rsidR="0004383E" w:rsidRDefault="0004383E" w:rsidP="0004383E">
      <w:pPr>
        <w:rPr>
          <w:lang w:val="en-GB" w:eastAsia="en-US"/>
        </w:rPr>
      </w:pPr>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29FA8" w14:textId="77777777" w:rsidR="0078165B" w:rsidRDefault="0078165B" w:rsidP="00051DF8">
      <w:r>
        <w:separator/>
      </w:r>
    </w:p>
  </w:endnote>
  <w:endnote w:type="continuationSeparator" w:id="0">
    <w:p w14:paraId="073805CF" w14:textId="77777777" w:rsidR="0078165B" w:rsidRDefault="0078165B" w:rsidP="00051DF8">
      <w:r>
        <w:continuationSeparator/>
      </w:r>
    </w:p>
  </w:endnote>
  <w:endnote w:type="continuationNotice" w:id="1">
    <w:p w14:paraId="396A1EFE" w14:textId="77777777" w:rsidR="0078165B" w:rsidRDefault="0078165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DC5E6" w14:textId="77777777" w:rsidR="0078165B" w:rsidRDefault="0078165B" w:rsidP="00051DF8">
      <w:r>
        <w:separator/>
      </w:r>
    </w:p>
  </w:footnote>
  <w:footnote w:type="continuationSeparator" w:id="0">
    <w:p w14:paraId="497A8DF5" w14:textId="77777777" w:rsidR="0078165B" w:rsidRDefault="0078165B" w:rsidP="00051DF8">
      <w:r>
        <w:continuationSeparator/>
      </w:r>
    </w:p>
  </w:footnote>
  <w:footnote w:type="continuationNotice" w:id="1">
    <w:p w14:paraId="38B4948D" w14:textId="77777777" w:rsidR="0078165B" w:rsidRDefault="0078165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4"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9"/>
  </w:num>
  <w:num w:numId="3">
    <w:abstractNumId w:val="13"/>
  </w:num>
  <w:num w:numId="4">
    <w:abstractNumId w:val="9"/>
  </w:num>
  <w:num w:numId="5">
    <w:abstractNumId w:val="10"/>
  </w:num>
  <w:num w:numId="6">
    <w:abstractNumId w:val="7"/>
  </w:num>
  <w:num w:numId="7">
    <w:abstractNumId w:val="4"/>
  </w:num>
  <w:num w:numId="8">
    <w:abstractNumId w:val="11"/>
  </w:num>
  <w:num w:numId="9">
    <w:abstractNumId w:val="5"/>
  </w:num>
  <w:num w:numId="10">
    <w:abstractNumId w:val="8"/>
  </w:num>
  <w:num w:numId="11">
    <w:abstractNumId w:val="1"/>
  </w:num>
  <w:num w:numId="12">
    <w:abstractNumId w:val="3"/>
  </w:num>
  <w:num w:numId="13">
    <w:abstractNumId w:val="14"/>
  </w:num>
  <w:num w:numId="14">
    <w:abstractNumId w:val="0"/>
  </w:num>
  <w:num w:numId="15">
    <w:abstractNumId w:val="12"/>
  </w:num>
  <w:num w:numId="16">
    <w:abstractNumId w:val="16"/>
  </w:num>
  <w:num w:numId="17">
    <w:abstractNumId w:val="17"/>
  </w:num>
  <w:num w:numId="18">
    <w:abstractNumId w:val="20"/>
  </w:num>
  <w:num w:numId="19">
    <w:abstractNumId w:val="6"/>
  </w:num>
  <w:num w:numId="20">
    <w:abstractNumId w:val="15"/>
  </w:num>
  <w:num w:numId="2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598C"/>
    <w:rsid w:val="00006DCE"/>
    <w:rsid w:val="00007761"/>
    <w:rsid w:val="00007CAB"/>
    <w:rsid w:val="0001163B"/>
    <w:rsid w:val="00011C8D"/>
    <w:rsid w:val="00013CDB"/>
    <w:rsid w:val="00014BC5"/>
    <w:rsid w:val="000153CC"/>
    <w:rsid w:val="00015950"/>
    <w:rsid w:val="00016031"/>
    <w:rsid w:val="000162E9"/>
    <w:rsid w:val="000163E2"/>
    <w:rsid w:val="00016554"/>
    <w:rsid w:val="00016557"/>
    <w:rsid w:val="00021B17"/>
    <w:rsid w:val="00022927"/>
    <w:rsid w:val="0002299F"/>
    <w:rsid w:val="00023C40"/>
    <w:rsid w:val="00025377"/>
    <w:rsid w:val="00025423"/>
    <w:rsid w:val="00026BFC"/>
    <w:rsid w:val="00027970"/>
    <w:rsid w:val="00027DC5"/>
    <w:rsid w:val="000302F2"/>
    <w:rsid w:val="00032642"/>
    <w:rsid w:val="00033313"/>
    <w:rsid w:val="00033397"/>
    <w:rsid w:val="00035A5D"/>
    <w:rsid w:val="00035DDB"/>
    <w:rsid w:val="00035DF0"/>
    <w:rsid w:val="000375A6"/>
    <w:rsid w:val="00040095"/>
    <w:rsid w:val="000403D7"/>
    <w:rsid w:val="00040932"/>
    <w:rsid w:val="0004169F"/>
    <w:rsid w:val="00042C77"/>
    <w:rsid w:val="0004383E"/>
    <w:rsid w:val="0004585B"/>
    <w:rsid w:val="000472BC"/>
    <w:rsid w:val="00051A55"/>
    <w:rsid w:val="00051D35"/>
    <w:rsid w:val="00051DF8"/>
    <w:rsid w:val="00052840"/>
    <w:rsid w:val="0005588D"/>
    <w:rsid w:val="00060D3E"/>
    <w:rsid w:val="000647B6"/>
    <w:rsid w:val="00064E50"/>
    <w:rsid w:val="00065268"/>
    <w:rsid w:val="00070BD9"/>
    <w:rsid w:val="00071C4F"/>
    <w:rsid w:val="00072646"/>
    <w:rsid w:val="00073C9C"/>
    <w:rsid w:val="0007792A"/>
    <w:rsid w:val="00080512"/>
    <w:rsid w:val="00081240"/>
    <w:rsid w:val="000824A8"/>
    <w:rsid w:val="0008378E"/>
    <w:rsid w:val="00085269"/>
    <w:rsid w:val="00090468"/>
    <w:rsid w:val="00090CD4"/>
    <w:rsid w:val="000914AC"/>
    <w:rsid w:val="00094568"/>
    <w:rsid w:val="00094C6B"/>
    <w:rsid w:val="00095044"/>
    <w:rsid w:val="000A4C20"/>
    <w:rsid w:val="000A60C3"/>
    <w:rsid w:val="000B0115"/>
    <w:rsid w:val="000B02F8"/>
    <w:rsid w:val="000B0B40"/>
    <w:rsid w:val="000B0BF3"/>
    <w:rsid w:val="000B0EF0"/>
    <w:rsid w:val="000B1752"/>
    <w:rsid w:val="000B40D8"/>
    <w:rsid w:val="000B4877"/>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E6808"/>
    <w:rsid w:val="000F481F"/>
    <w:rsid w:val="000F526A"/>
    <w:rsid w:val="000F57DC"/>
    <w:rsid w:val="000F6A70"/>
    <w:rsid w:val="000F6CE7"/>
    <w:rsid w:val="000F7A11"/>
    <w:rsid w:val="00100327"/>
    <w:rsid w:val="001010DB"/>
    <w:rsid w:val="001011C1"/>
    <w:rsid w:val="0010368C"/>
    <w:rsid w:val="00104660"/>
    <w:rsid w:val="0010781D"/>
    <w:rsid w:val="00112AE8"/>
    <w:rsid w:val="00112F1A"/>
    <w:rsid w:val="00117C7C"/>
    <w:rsid w:val="0012049E"/>
    <w:rsid w:val="001226A2"/>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5006E"/>
    <w:rsid w:val="001500B8"/>
    <w:rsid w:val="001617E5"/>
    <w:rsid w:val="00165A0D"/>
    <w:rsid w:val="00166728"/>
    <w:rsid w:val="0016769C"/>
    <w:rsid w:val="00171DA1"/>
    <w:rsid w:val="001741A0"/>
    <w:rsid w:val="00174291"/>
    <w:rsid w:val="00174398"/>
    <w:rsid w:val="00175FA0"/>
    <w:rsid w:val="00180692"/>
    <w:rsid w:val="0018139B"/>
    <w:rsid w:val="00181483"/>
    <w:rsid w:val="00182E67"/>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62AF"/>
    <w:rsid w:val="00197FF3"/>
    <w:rsid w:val="001A18D7"/>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4157"/>
    <w:rsid w:val="001F7831"/>
    <w:rsid w:val="002013CD"/>
    <w:rsid w:val="00204045"/>
    <w:rsid w:val="0020712B"/>
    <w:rsid w:val="0021231D"/>
    <w:rsid w:val="00212942"/>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34A8"/>
    <w:rsid w:val="002346A7"/>
    <w:rsid w:val="00234C99"/>
    <w:rsid w:val="0023661D"/>
    <w:rsid w:val="0024157F"/>
    <w:rsid w:val="00241AC5"/>
    <w:rsid w:val="0024324A"/>
    <w:rsid w:val="00243DE1"/>
    <w:rsid w:val="00244A05"/>
    <w:rsid w:val="002455B8"/>
    <w:rsid w:val="00247550"/>
    <w:rsid w:val="002502EB"/>
    <w:rsid w:val="00250404"/>
    <w:rsid w:val="00250645"/>
    <w:rsid w:val="002508F7"/>
    <w:rsid w:val="00252D6F"/>
    <w:rsid w:val="0025613A"/>
    <w:rsid w:val="00260EC0"/>
    <w:rsid w:val="002610D8"/>
    <w:rsid w:val="00266AF5"/>
    <w:rsid w:val="00266D49"/>
    <w:rsid w:val="002675D3"/>
    <w:rsid w:val="002709D8"/>
    <w:rsid w:val="00270A2B"/>
    <w:rsid w:val="002747EC"/>
    <w:rsid w:val="002772A6"/>
    <w:rsid w:val="002815C0"/>
    <w:rsid w:val="00283F62"/>
    <w:rsid w:val="002840C7"/>
    <w:rsid w:val="002845F9"/>
    <w:rsid w:val="00284E78"/>
    <w:rsid w:val="002855BF"/>
    <w:rsid w:val="00287326"/>
    <w:rsid w:val="00290336"/>
    <w:rsid w:val="00292EB4"/>
    <w:rsid w:val="00292FC9"/>
    <w:rsid w:val="002A3017"/>
    <w:rsid w:val="002A32C4"/>
    <w:rsid w:val="002A3860"/>
    <w:rsid w:val="002A47CF"/>
    <w:rsid w:val="002A488C"/>
    <w:rsid w:val="002A7486"/>
    <w:rsid w:val="002A7C84"/>
    <w:rsid w:val="002B0F64"/>
    <w:rsid w:val="002B1D88"/>
    <w:rsid w:val="002B3354"/>
    <w:rsid w:val="002B35F1"/>
    <w:rsid w:val="002B3F8E"/>
    <w:rsid w:val="002B44B8"/>
    <w:rsid w:val="002C260C"/>
    <w:rsid w:val="002C69AA"/>
    <w:rsid w:val="002D093F"/>
    <w:rsid w:val="002D2C29"/>
    <w:rsid w:val="002D2CA2"/>
    <w:rsid w:val="002D6446"/>
    <w:rsid w:val="002D657A"/>
    <w:rsid w:val="002E00B5"/>
    <w:rsid w:val="002E246F"/>
    <w:rsid w:val="002E26C0"/>
    <w:rsid w:val="002E79BB"/>
    <w:rsid w:val="002F0D22"/>
    <w:rsid w:val="002F12A5"/>
    <w:rsid w:val="002F244D"/>
    <w:rsid w:val="002F3DF3"/>
    <w:rsid w:val="002F5304"/>
    <w:rsid w:val="0030563B"/>
    <w:rsid w:val="00305DAA"/>
    <w:rsid w:val="00306241"/>
    <w:rsid w:val="003073B9"/>
    <w:rsid w:val="003105EB"/>
    <w:rsid w:val="00310D9A"/>
    <w:rsid w:val="00311B17"/>
    <w:rsid w:val="003133F1"/>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1291"/>
    <w:rsid w:val="00343806"/>
    <w:rsid w:val="003463C4"/>
    <w:rsid w:val="00347B20"/>
    <w:rsid w:val="00350D7C"/>
    <w:rsid w:val="00351CAD"/>
    <w:rsid w:val="00353629"/>
    <w:rsid w:val="0035462D"/>
    <w:rsid w:val="00354B33"/>
    <w:rsid w:val="00363968"/>
    <w:rsid w:val="0036459E"/>
    <w:rsid w:val="00364B41"/>
    <w:rsid w:val="003667FF"/>
    <w:rsid w:val="003676CB"/>
    <w:rsid w:val="00370943"/>
    <w:rsid w:val="003724CA"/>
    <w:rsid w:val="003726B5"/>
    <w:rsid w:val="00373F83"/>
    <w:rsid w:val="00374847"/>
    <w:rsid w:val="00376209"/>
    <w:rsid w:val="00377F37"/>
    <w:rsid w:val="00381708"/>
    <w:rsid w:val="003824C2"/>
    <w:rsid w:val="00382C4D"/>
    <w:rsid w:val="00383096"/>
    <w:rsid w:val="00384561"/>
    <w:rsid w:val="0038467F"/>
    <w:rsid w:val="00385E77"/>
    <w:rsid w:val="00387011"/>
    <w:rsid w:val="00387B0B"/>
    <w:rsid w:val="00390D6B"/>
    <w:rsid w:val="0039346C"/>
    <w:rsid w:val="00395772"/>
    <w:rsid w:val="003972FF"/>
    <w:rsid w:val="003A133F"/>
    <w:rsid w:val="003A229C"/>
    <w:rsid w:val="003A3DB5"/>
    <w:rsid w:val="003A41EF"/>
    <w:rsid w:val="003A527F"/>
    <w:rsid w:val="003A565C"/>
    <w:rsid w:val="003B2EAB"/>
    <w:rsid w:val="003B40AD"/>
    <w:rsid w:val="003B6290"/>
    <w:rsid w:val="003B73F6"/>
    <w:rsid w:val="003B79E3"/>
    <w:rsid w:val="003C1A2A"/>
    <w:rsid w:val="003C237F"/>
    <w:rsid w:val="003C291C"/>
    <w:rsid w:val="003C2C5D"/>
    <w:rsid w:val="003C311A"/>
    <w:rsid w:val="003C4E37"/>
    <w:rsid w:val="003C5533"/>
    <w:rsid w:val="003C5DF8"/>
    <w:rsid w:val="003D127F"/>
    <w:rsid w:val="003D3519"/>
    <w:rsid w:val="003D4028"/>
    <w:rsid w:val="003D4B16"/>
    <w:rsid w:val="003E01A2"/>
    <w:rsid w:val="003E06FD"/>
    <w:rsid w:val="003E136B"/>
    <w:rsid w:val="003E16BE"/>
    <w:rsid w:val="003E17A4"/>
    <w:rsid w:val="003E4022"/>
    <w:rsid w:val="003E676B"/>
    <w:rsid w:val="003F11FC"/>
    <w:rsid w:val="003F24B6"/>
    <w:rsid w:val="003F2920"/>
    <w:rsid w:val="003F3214"/>
    <w:rsid w:val="003F4E28"/>
    <w:rsid w:val="003F7CC9"/>
    <w:rsid w:val="004006E8"/>
    <w:rsid w:val="00401855"/>
    <w:rsid w:val="0040228D"/>
    <w:rsid w:val="0040702D"/>
    <w:rsid w:val="0041304C"/>
    <w:rsid w:val="00413F2F"/>
    <w:rsid w:val="00414017"/>
    <w:rsid w:val="0041434A"/>
    <w:rsid w:val="004174EF"/>
    <w:rsid w:val="0042280C"/>
    <w:rsid w:val="00427D3B"/>
    <w:rsid w:val="00431669"/>
    <w:rsid w:val="004322B3"/>
    <w:rsid w:val="00432BC9"/>
    <w:rsid w:val="00432BE2"/>
    <w:rsid w:val="00432F4A"/>
    <w:rsid w:val="00441FD9"/>
    <w:rsid w:val="004433CF"/>
    <w:rsid w:val="0044406B"/>
    <w:rsid w:val="0044738E"/>
    <w:rsid w:val="004511CD"/>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7252"/>
    <w:rsid w:val="00477455"/>
    <w:rsid w:val="004779FB"/>
    <w:rsid w:val="00487060"/>
    <w:rsid w:val="004901A6"/>
    <w:rsid w:val="00490325"/>
    <w:rsid w:val="00490C92"/>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E7F"/>
    <w:rsid w:val="004F3ADA"/>
    <w:rsid w:val="004F4540"/>
    <w:rsid w:val="004F73A7"/>
    <w:rsid w:val="004F7C51"/>
    <w:rsid w:val="004F7EB5"/>
    <w:rsid w:val="00501D49"/>
    <w:rsid w:val="00503171"/>
    <w:rsid w:val="00503CB5"/>
    <w:rsid w:val="00506C28"/>
    <w:rsid w:val="005075B6"/>
    <w:rsid w:val="005134A6"/>
    <w:rsid w:val="005154AF"/>
    <w:rsid w:val="00516A0D"/>
    <w:rsid w:val="005214BC"/>
    <w:rsid w:val="00524A37"/>
    <w:rsid w:val="00527C31"/>
    <w:rsid w:val="00527F2A"/>
    <w:rsid w:val="00531FAA"/>
    <w:rsid w:val="00534672"/>
    <w:rsid w:val="00534DA0"/>
    <w:rsid w:val="00535EC5"/>
    <w:rsid w:val="00536A0E"/>
    <w:rsid w:val="00537568"/>
    <w:rsid w:val="00542000"/>
    <w:rsid w:val="005438E7"/>
    <w:rsid w:val="00543E6C"/>
    <w:rsid w:val="0054761B"/>
    <w:rsid w:val="00547A10"/>
    <w:rsid w:val="00547C85"/>
    <w:rsid w:val="0055000F"/>
    <w:rsid w:val="00551763"/>
    <w:rsid w:val="005525D5"/>
    <w:rsid w:val="0055422F"/>
    <w:rsid w:val="005545EE"/>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C61"/>
    <w:rsid w:val="005D2ED5"/>
    <w:rsid w:val="005D4207"/>
    <w:rsid w:val="005D6E49"/>
    <w:rsid w:val="005D725F"/>
    <w:rsid w:val="005E28FB"/>
    <w:rsid w:val="005F0D6D"/>
    <w:rsid w:val="005F2403"/>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3366"/>
    <w:rsid w:val="006148EC"/>
    <w:rsid w:val="006150D4"/>
    <w:rsid w:val="006160D7"/>
    <w:rsid w:val="00622FDA"/>
    <w:rsid w:val="00624813"/>
    <w:rsid w:val="00624C07"/>
    <w:rsid w:val="0062582C"/>
    <w:rsid w:val="00625B0A"/>
    <w:rsid w:val="00632396"/>
    <w:rsid w:val="006326D4"/>
    <w:rsid w:val="00635845"/>
    <w:rsid w:val="006366DF"/>
    <w:rsid w:val="00640307"/>
    <w:rsid w:val="00643340"/>
    <w:rsid w:val="00646D99"/>
    <w:rsid w:val="006479C4"/>
    <w:rsid w:val="006504D6"/>
    <w:rsid w:val="00650567"/>
    <w:rsid w:val="006510E9"/>
    <w:rsid w:val="00652B9E"/>
    <w:rsid w:val="00653358"/>
    <w:rsid w:val="006541A1"/>
    <w:rsid w:val="00654596"/>
    <w:rsid w:val="00654F4E"/>
    <w:rsid w:val="00655298"/>
    <w:rsid w:val="00656910"/>
    <w:rsid w:val="00656E05"/>
    <w:rsid w:val="006574C0"/>
    <w:rsid w:val="00657CA6"/>
    <w:rsid w:val="0066096B"/>
    <w:rsid w:val="0066417C"/>
    <w:rsid w:val="006662B7"/>
    <w:rsid w:val="00670C14"/>
    <w:rsid w:val="00672522"/>
    <w:rsid w:val="00674D79"/>
    <w:rsid w:val="0067758B"/>
    <w:rsid w:val="0067783E"/>
    <w:rsid w:val="00677F5B"/>
    <w:rsid w:val="00682BF2"/>
    <w:rsid w:val="006854C3"/>
    <w:rsid w:val="00690ED2"/>
    <w:rsid w:val="00694F59"/>
    <w:rsid w:val="00695261"/>
    <w:rsid w:val="00696821"/>
    <w:rsid w:val="006A19A8"/>
    <w:rsid w:val="006A1A2B"/>
    <w:rsid w:val="006A242E"/>
    <w:rsid w:val="006A26F7"/>
    <w:rsid w:val="006A416F"/>
    <w:rsid w:val="006A4A4B"/>
    <w:rsid w:val="006B161F"/>
    <w:rsid w:val="006B2C4A"/>
    <w:rsid w:val="006C13E8"/>
    <w:rsid w:val="006C1B70"/>
    <w:rsid w:val="006C2167"/>
    <w:rsid w:val="006C66D8"/>
    <w:rsid w:val="006C7C48"/>
    <w:rsid w:val="006D067F"/>
    <w:rsid w:val="006D1316"/>
    <w:rsid w:val="006D1E24"/>
    <w:rsid w:val="006D35DE"/>
    <w:rsid w:val="006D3AF4"/>
    <w:rsid w:val="006D3CBB"/>
    <w:rsid w:val="006D4D6F"/>
    <w:rsid w:val="006D530C"/>
    <w:rsid w:val="006D554E"/>
    <w:rsid w:val="006E0403"/>
    <w:rsid w:val="006E1057"/>
    <w:rsid w:val="006E1417"/>
    <w:rsid w:val="006E19AF"/>
    <w:rsid w:val="006E401D"/>
    <w:rsid w:val="006E4AE6"/>
    <w:rsid w:val="006F69EC"/>
    <w:rsid w:val="006F6A2C"/>
    <w:rsid w:val="00701323"/>
    <w:rsid w:val="00705BC0"/>
    <w:rsid w:val="007069DC"/>
    <w:rsid w:val="00710201"/>
    <w:rsid w:val="007102CD"/>
    <w:rsid w:val="00710D4C"/>
    <w:rsid w:val="0071194B"/>
    <w:rsid w:val="007129D3"/>
    <w:rsid w:val="00713E60"/>
    <w:rsid w:val="0072023D"/>
    <w:rsid w:val="0072073A"/>
    <w:rsid w:val="007217A0"/>
    <w:rsid w:val="00721D97"/>
    <w:rsid w:val="00722548"/>
    <w:rsid w:val="00723B0B"/>
    <w:rsid w:val="00724DB3"/>
    <w:rsid w:val="00724F42"/>
    <w:rsid w:val="00725C33"/>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6E85"/>
    <w:rsid w:val="00757D40"/>
    <w:rsid w:val="00761926"/>
    <w:rsid w:val="0076307D"/>
    <w:rsid w:val="0076607C"/>
    <w:rsid w:val="007662B5"/>
    <w:rsid w:val="0077466B"/>
    <w:rsid w:val="00774940"/>
    <w:rsid w:val="0077751F"/>
    <w:rsid w:val="007778A0"/>
    <w:rsid w:val="00781472"/>
    <w:rsid w:val="0078165B"/>
    <w:rsid w:val="00781F0F"/>
    <w:rsid w:val="00782664"/>
    <w:rsid w:val="007848CB"/>
    <w:rsid w:val="0078534D"/>
    <w:rsid w:val="007864E8"/>
    <w:rsid w:val="0078727C"/>
    <w:rsid w:val="00787719"/>
    <w:rsid w:val="0079049D"/>
    <w:rsid w:val="00790FD3"/>
    <w:rsid w:val="00792C78"/>
    <w:rsid w:val="007933A9"/>
    <w:rsid w:val="00793B9D"/>
    <w:rsid w:val="00793DC5"/>
    <w:rsid w:val="00794B9A"/>
    <w:rsid w:val="00796823"/>
    <w:rsid w:val="00797AA0"/>
    <w:rsid w:val="007A0C28"/>
    <w:rsid w:val="007A2E55"/>
    <w:rsid w:val="007A3137"/>
    <w:rsid w:val="007A7099"/>
    <w:rsid w:val="007A74F5"/>
    <w:rsid w:val="007B09F5"/>
    <w:rsid w:val="007B18D8"/>
    <w:rsid w:val="007B2202"/>
    <w:rsid w:val="007B2A65"/>
    <w:rsid w:val="007B32DC"/>
    <w:rsid w:val="007B3C9A"/>
    <w:rsid w:val="007C095F"/>
    <w:rsid w:val="007C17D5"/>
    <w:rsid w:val="007C1A44"/>
    <w:rsid w:val="007C25AC"/>
    <w:rsid w:val="007C2DD0"/>
    <w:rsid w:val="007C563E"/>
    <w:rsid w:val="007C6BBA"/>
    <w:rsid w:val="007C7B54"/>
    <w:rsid w:val="007C7BB8"/>
    <w:rsid w:val="007D06E6"/>
    <w:rsid w:val="007D1A7F"/>
    <w:rsid w:val="007D2689"/>
    <w:rsid w:val="007D2A9D"/>
    <w:rsid w:val="007D4F8A"/>
    <w:rsid w:val="007D4FB2"/>
    <w:rsid w:val="007E1392"/>
    <w:rsid w:val="007E26E9"/>
    <w:rsid w:val="007E2EF9"/>
    <w:rsid w:val="007E34F3"/>
    <w:rsid w:val="007F03B5"/>
    <w:rsid w:val="007F09F2"/>
    <w:rsid w:val="007F2D37"/>
    <w:rsid w:val="007F2E08"/>
    <w:rsid w:val="007F4297"/>
    <w:rsid w:val="007F7AA7"/>
    <w:rsid w:val="007F7EC4"/>
    <w:rsid w:val="00800199"/>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78CB"/>
    <w:rsid w:val="00837E8F"/>
    <w:rsid w:val="0084067A"/>
    <w:rsid w:val="00840DE0"/>
    <w:rsid w:val="00842FBC"/>
    <w:rsid w:val="00844CDD"/>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49F5"/>
    <w:rsid w:val="00890D75"/>
    <w:rsid w:val="00892166"/>
    <w:rsid w:val="00892D9D"/>
    <w:rsid w:val="00894B26"/>
    <w:rsid w:val="00895A0B"/>
    <w:rsid w:val="00895FC5"/>
    <w:rsid w:val="008961F0"/>
    <w:rsid w:val="00896CB6"/>
    <w:rsid w:val="008A092A"/>
    <w:rsid w:val="008A2511"/>
    <w:rsid w:val="008A331F"/>
    <w:rsid w:val="008B3C42"/>
    <w:rsid w:val="008B5306"/>
    <w:rsid w:val="008B74AF"/>
    <w:rsid w:val="008C285A"/>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4AF8"/>
    <w:rsid w:val="008E799C"/>
    <w:rsid w:val="008F396F"/>
    <w:rsid w:val="008F3DCD"/>
    <w:rsid w:val="008F6945"/>
    <w:rsid w:val="0090129C"/>
    <w:rsid w:val="00901D5C"/>
    <w:rsid w:val="0090271F"/>
    <w:rsid w:val="009027DA"/>
    <w:rsid w:val="00902DB9"/>
    <w:rsid w:val="00903709"/>
    <w:rsid w:val="0090466A"/>
    <w:rsid w:val="00907FE0"/>
    <w:rsid w:val="0091035F"/>
    <w:rsid w:val="009139F6"/>
    <w:rsid w:val="00921E6D"/>
    <w:rsid w:val="0092209D"/>
    <w:rsid w:val="00923655"/>
    <w:rsid w:val="0092601D"/>
    <w:rsid w:val="0092610E"/>
    <w:rsid w:val="009322D7"/>
    <w:rsid w:val="00936071"/>
    <w:rsid w:val="00936F38"/>
    <w:rsid w:val="009376AF"/>
    <w:rsid w:val="009376CD"/>
    <w:rsid w:val="00940212"/>
    <w:rsid w:val="009428FC"/>
    <w:rsid w:val="00942EC2"/>
    <w:rsid w:val="00944EC6"/>
    <w:rsid w:val="009504CA"/>
    <w:rsid w:val="009505D8"/>
    <w:rsid w:val="009508D2"/>
    <w:rsid w:val="00950B99"/>
    <w:rsid w:val="00952941"/>
    <w:rsid w:val="00952D55"/>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7122"/>
    <w:rsid w:val="00977609"/>
    <w:rsid w:val="00977EAC"/>
    <w:rsid w:val="00980130"/>
    <w:rsid w:val="00982DAE"/>
    <w:rsid w:val="00983FFE"/>
    <w:rsid w:val="00986B60"/>
    <w:rsid w:val="0099153D"/>
    <w:rsid w:val="009928A9"/>
    <w:rsid w:val="009932BF"/>
    <w:rsid w:val="00995D8C"/>
    <w:rsid w:val="0099772A"/>
    <w:rsid w:val="00997F2F"/>
    <w:rsid w:val="00997FAD"/>
    <w:rsid w:val="009A07BF"/>
    <w:rsid w:val="009A0AF3"/>
    <w:rsid w:val="009A2EEE"/>
    <w:rsid w:val="009A4931"/>
    <w:rsid w:val="009A5858"/>
    <w:rsid w:val="009A642A"/>
    <w:rsid w:val="009B07CD"/>
    <w:rsid w:val="009B13FA"/>
    <w:rsid w:val="009B26F6"/>
    <w:rsid w:val="009B3827"/>
    <w:rsid w:val="009B647D"/>
    <w:rsid w:val="009B7B06"/>
    <w:rsid w:val="009C19E9"/>
    <w:rsid w:val="009D5A5D"/>
    <w:rsid w:val="009D7467"/>
    <w:rsid w:val="009D74A6"/>
    <w:rsid w:val="009E0B98"/>
    <w:rsid w:val="009E0E87"/>
    <w:rsid w:val="009E2DC5"/>
    <w:rsid w:val="009E55AC"/>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1B24"/>
    <w:rsid w:val="00A33876"/>
    <w:rsid w:val="00A33FE1"/>
    <w:rsid w:val="00A34C56"/>
    <w:rsid w:val="00A409FF"/>
    <w:rsid w:val="00A41829"/>
    <w:rsid w:val="00A430EC"/>
    <w:rsid w:val="00A4371D"/>
    <w:rsid w:val="00A44335"/>
    <w:rsid w:val="00A448B3"/>
    <w:rsid w:val="00A4645A"/>
    <w:rsid w:val="00A466D4"/>
    <w:rsid w:val="00A47F02"/>
    <w:rsid w:val="00A53724"/>
    <w:rsid w:val="00A54B2B"/>
    <w:rsid w:val="00A60806"/>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596"/>
    <w:rsid w:val="00A9671C"/>
    <w:rsid w:val="00AA1553"/>
    <w:rsid w:val="00AA1BCE"/>
    <w:rsid w:val="00AA4F5A"/>
    <w:rsid w:val="00AA5A02"/>
    <w:rsid w:val="00AA610D"/>
    <w:rsid w:val="00AA6D24"/>
    <w:rsid w:val="00AB11DA"/>
    <w:rsid w:val="00AB20DF"/>
    <w:rsid w:val="00AB2C03"/>
    <w:rsid w:val="00AB3DDD"/>
    <w:rsid w:val="00AB4454"/>
    <w:rsid w:val="00AC507F"/>
    <w:rsid w:val="00AC6887"/>
    <w:rsid w:val="00AD3082"/>
    <w:rsid w:val="00AE5D2D"/>
    <w:rsid w:val="00AF1733"/>
    <w:rsid w:val="00AF1776"/>
    <w:rsid w:val="00AF371E"/>
    <w:rsid w:val="00AF5CA0"/>
    <w:rsid w:val="00AF649F"/>
    <w:rsid w:val="00AF7C5F"/>
    <w:rsid w:val="00B0385E"/>
    <w:rsid w:val="00B04A76"/>
    <w:rsid w:val="00B05380"/>
    <w:rsid w:val="00B05962"/>
    <w:rsid w:val="00B05C08"/>
    <w:rsid w:val="00B11C8B"/>
    <w:rsid w:val="00B11EAC"/>
    <w:rsid w:val="00B13A48"/>
    <w:rsid w:val="00B14B63"/>
    <w:rsid w:val="00B15449"/>
    <w:rsid w:val="00B157CB"/>
    <w:rsid w:val="00B15B76"/>
    <w:rsid w:val="00B16C2F"/>
    <w:rsid w:val="00B176C9"/>
    <w:rsid w:val="00B25D3B"/>
    <w:rsid w:val="00B2602A"/>
    <w:rsid w:val="00B261CD"/>
    <w:rsid w:val="00B27303"/>
    <w:rsid w:val="00B30F22"/>
    <w:rsid w:val="00B314DB"/>
    <w:rsid w:val="00B31F1F"/>
    <w:rsid w:val="00B34577"/>
    <w:rsid w:val="00B35947"/>
    <w:rsid w:val="00B413F2"/>
    <w:rsid w:val="00B422C6"/>
    <w:rsid w:val="00B423D7"/>
    <w:rsid w:val="00B4636F"/>
    <w:rsid w:val="00B46E85"/>
    <w:rsid w:val="00B47C49"/>
    <w:rsid w:val="00B47FD1"/>
    <w:rsid w:val="00B50369"/>
    <w:rsid w:val="00B51007"/>
    <w:rsid w:val="00B516BB"/>
    <w:rsid w:val="00B53DBA"/>
    <w:rsid w:val="00B54E39"/>
    <w:rsid w:val="00B55159"/>
    <w:rsid w:val="00B606E6"/>
    <w:rsid w:val="00B657DE"/>
    <w:rsid w:val="00B65AA8"/>
    <w:rsid w:val="00B6672E"/>
    <w:rsid w:val="00B66E42"/>
    <w:rsid w:val="00B726D8"/>
    <w:rsid w:val="00B73674"/>
    <w:rsid w:val="00B7538C"/>
    <w:rsid w:val="00B76953"/>
    <w:rsid w:val="00B8075F"/>
    <w:rsid w:val="00B84B49"/>
    <w:rsid w:val="00B84DB2"/>
    <w:rsid w:val="00B873FD"/>
    <w:rsid w:val="00B965D1"/>
    <w:rsid w:val="00BA18CB"/>
    <w:rsid w:val="00BA1A49"/>
    <w:rsid w:val="00BA55D1"/>
    <w:rsid w:val="00BA56A5"/>
    <w:rsid w:val="00BB12BA"/>
    <w:rsid w:val="00BB15DE"/>
    <w:rsid w:val="00BB1F15"/>
    <w:rsid w:val="00BB242A"/>
    <w:rsid w:val="00BB3BBA"/>
    <w:rsid w:val="00BB7251"/>
    <w:rsid w:val="00BB7C42"/>
    <w:rsid w:val="00BC1BC3"/>
    <w:rsid w:val="00BC2CAC"/>
    <w:rsid w:val="00BC32E4"/>
    <w:rsid w:val="00BC3555"/>
    <w:rsid w:val="00BD03E5"/>
    <w:rsid w:val="00BD2CE9"/>
    <w:rsid w:val="00BD5D0A"/>
    <w:rsid w:val="00BE034C"/>
    <w:rsid w:val="00BE07D3"/>
    <w:rsid w:val="00BE0A0C"/>
    <w:rsid w:val="00BE2A19"/>
    <w:rsid w:val="00BE7451"/>
    <w:rsid w:val="00BF14F3"/>
    <w:rsid w:val="00BF3CBC"/>
    <w:rsid w:val="00BF4333"/>
    <w:rsid w:val="00BF4969"/>
    <w:rsid w:val="00C00351"/>
    <w:rsid w:val="00C00512"/>
    <w:rsid w:val="00C0146E"/>
    <w:rsid w:val="00C04A27"/>
    <w:rsid w:val="00C060FE"/>
    <w:rsid w:val="00C11561"/>
    <w:rsid w:val="00C12B51"/>
    <w:rsid w:val="00C14510"/>
    <w:rsid w:val="00C1493D"/>
    <w:rsid w:val="00C151D4"/>
    <w:rsid w:val="00C1670C"/>
    <w:rsid w:val="00C21AA8"/>
    <w:rsid w:val="00C23F90"/>
    <w:rsid w:val="00C243E1"/>
    <w:rsid w:val="00C24650"/>
    <w:rsid w:val="00C25465"/>
    <w:rsid w:val="00C25AEA"/>
    <w:rsid w:val="00C30859"/>
    <w:rsid w:val="00C31B5A"/>
    <w:rsid w:val="00C32649"/>
    <w:rsid w:val="00C33079"/>
    <w:rsid w:val="00C339E9"/>
    <w:rsid w:val="00C34F33"/>
    <w:rsid w:val="00C424AD"/>
    <w:rsid w:val="00C44D4E"/>
    <w:rsid w:val="00C460F5"/>
    <w:rsid w:val="00C46E04"/>
    <w:rsid w:val="00C4721A"/>
    <w:rsid w:val="00C479AE"/>
    <w:rsid w:val="00C5010C"/>
    <w:rsid w:val="00C5204F"/>
    <w:rsid w:val="00C5362D"/>
    <w:rsid w:val="00C54AE7"/>
    <w:rsid w:val="00C54B3F"/>
    <w:rsid w:val="00C54DA4"/>
    <w:rsid w:val="00C54F5D"/>
    <w:rsid w:val="00C55038"/>
    <w:rsid w:val="00C55A12"/>
    <w:rsid w:val="00C56C9F"/>
    <w:rsid w:val="00C637FD"/>
    <w:rsid w:val="00C6553E"/>
    <w:rsid w:val="00C66523"/>
    <w:rsid w:val="00C66D96"/>
    <w:rsid w:val="00C70DC4"/>
    <w:rsid w:val="00C74E92"/>
    <w:rsid w:val="00C760D4"/>
    <w:rsid w:val="00C76A1A"/>
    <w:rsid w:val="00C76B6B"/>
    <w:rsid w:val="00C779A7"/>
    <w:rsid w:val="00C81DF7"/>
    <w:rsid w:val="00C83895"/>
    <w:rsid w:val="00C83A13"/>
    <w:rsid w:val="00C844F8"/>
    <w:rsid w:val="00C86F10"/>
    <w:rsid w:val="00C9068C"/>
    <w:rsid w:val="00C91F36"/>
    <w:rsid w:val="00C92967"/>
    <w:rsid w:val="00C94794"/>
    <w:rsid w:val="00CA0FF2"/>
    <w:rsid w:val="00CA358C"/>
    <w:rsid w:val="00CA390E"/>
    <w:rsid w:val="00CA3D0C"/>
    <w:rsid w:val="00CA4156"/>
    <w:rsid w:val="00CA622F"/>
    <w:rsid w:val="00CA654B"/>
    <w:rsid w:val="00CA7092"/>
    <w:rsid w:val="00CB3154"/>
    <w:rsid w:val="00CB40C7"/>
    <w:rsid w:val="00CB4772"/>
    <w:rsid w:val="00CB72B8"/>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11CA"/>
    <w:rsid w:val="00D019F7"/>
    <w:rsid w:val="00D020FC"/>
    <w:rsid w:val="00D06125"/>
    <w:rsid w:val="00D06188"/>
    <w:rsid w:val="00D12DDB"/>
    <w:rsid w:val="00D1769D"/>
    <w:rsid w:val="00D24051"/>
    <w:rsid w:val="00D24C0D"/>
    <w:rsid w:val="00D30635"/>
    <w:rsid w:val="00D30C9E"/>
    <w:rsid w:val="00D32165"/>
    <w:rsid w:val="00D33400"/>
    <w:rsid w:val="00D33BE3"/>
    <w:rsid w:val="00D33CDF"/>
    <w:rsid w:val="00D3498F"/>
    <w:rsid w:val="00D35DEB"/>
    <w:rsid w:val="00D36C63"/>
    <w:rsid w:val="00D3792D"/>
    <w:rsid w:val="00D40BB8"/>
    <w:rsid w:val="00D43C85"/>
    <w:rsid w:val="00D43FB4"/>
    <w:rsid w:val="00D44D37"/>
    <w:rsid w:val="00D47CAD"/>
    <w:rsid w:val="00D507E3"/>
    <w:rsid w:val="00D51036"/>
    <w:rsid w:val="00D51BE4"/>
    <w:rsid w:val="00D52FC5"/>
    <w:rsid w:val="00D552ED"/>
    <w:rsid w:val="00D55E47"/>
    <w:rsid w:val="00D60C67"/>
    <w:rsid w:val="00D62E19"/>
    <w:rsid w:val="00D62E33"/>
    <w:rsid w:val="00D64B1C"/>
    <w:rsid w:val="00D6517A"/>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914"/>
    <w:rsid w:val="00D96D11"/>
    <w:rsid w:val="00DA29BD"/>
    <w:rsid w:val="00DA3414"/>
    <w:rsid w:val="00DA6127"/>
    <w:rsid w:val="00DA7A03"/>
    <w:rsid w:val="00DB01B2"/>
    <w:rsid w:val="00DB0C97"/>
    <w:rsid w:val="00DB0DB8"/>
    <w:rsid w:val="00DB159F"/>
    <w:rsid w:val="00DB1818"/>
    <w:rsid w:val="00DB1F9F"/>
    <w:rsid w:val="00DB3918"/>
    <w:rsid w:val="00DB74A8"/>
    <w:rsid w:val="00DC309B"/>
    <w:rsid w:val="00DC3ED9"/>
    <w:rsid w:val="00DC44E4"/>
    <w:rsid w:val="00DC4DA2"/>
    <w:rsid w:val="00DC5261"/>
    <w:rsid w:val="00DC6A61"/>
    <w:rsid w:val="00DC75FA"/>
    <w:rsid w:val="00DD16AF"/>
    <w:rsid w:val="00DD3480"/>
    <w:rsid w:val="00DD5188"/>
    <w:rsid w:val="00DD64BE"/>
    <w:rsid w:val="00DD6910"/>
    <w:rsid w:val="00DE001F"/>
    <w:rsid w:val="00DE03D3"/>
    <w:rsid w:val="00DE0B51"/>
    <w:rsid w:val="00DE22A8"/>
    <w:rsid w:val="00DE25D2"/>
    <w:rsid w:val="00DE292B"/>
    <w:rsid w:val="00DE491C"/>
    <w:rsid w:val="00DF0B46"/>
    <w:rsid w:val="00DF218F"/>
    <w:rsid w:val="00DF4645"/>
    <w:rsid w:val="00DF7834"/>
    <w:rsid w:val="00E00D16"/>
    <w:rsid w:val="00E02228"/>
    <w:rsid w:val="00E0267E"/>
    <w:rsid w:val="00E053D4"/>
    <w:rsid w:val="00E107C1"/>
    <w:rsid w:val="00E1255A"/>
    <w:rsid w:val="00E131B9"/>
    <w:rsid w:val="00E147E9"/>
    <w:rsid w:val="00E14C25"/>
    <w:rsid w:val="00E1589E"/>
    <w:rsid w:val="00E15BD7"/>
    <w:rsid w:val="00E16BF5"/>
    <w:rsid w:val="00E22129"/>
    <w:rsid w:val="00E223EE"/>
    <w:rsid w:val="00E24C00"/>
    <w:rsid w:val="00E262F2"/>
    <w:rsid w:val="00E26957"/>
    <w:rsid w:val="00E31765"/>
    <w:rsid w:val="00E37E4F"/>
    <w:rsid w:val="00E41B53"/>
    <w:rsid w:val="00E41C0F"/>
    <w:rsid w:val="00E45739"/>
    <w:rsid w:val="00E46C08"/>
    <w:rsid w:val="00E471CF"/>
    <w:rsid w:val="00E47979"/>
    <w:rsid w:val="00E51F1C"/>
    <w:rsid w:val="00E5360F"/>
    <w:rsid w:val="00E54A76"/>
    <w:rsid w:val="00E55148"/>
    <w:rsid w:val="00E609A3"/>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509D"/>
    <w:rsid w:val="00E96CD0"/>
    <w:rsid w:val="00E96F95"/>
    <w:rsid w:val="00EA0DCF"/>
    <w:rsid w:val="00EA12F9"/>
    <w:rsid w:val="00EA3E27"/>
    <w:rsid w:val="00EA5A15"/>
    <w:rsid w:val="00EA63FC"/>
    <w:rsid w:val="00EA66C9"/>
    <w:rsid w:val="00EA715F"/>
    <w:rsid w:val="00EA7523"/>
    <w:rsid w:val="00EB06B2"/>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6022"/>
    <w:rsid w:val="00EE00AC"/>
    <w:rsid w:val="00EE013E"/>
    <w:rsid w:val="00EE22FB"/>
    <w:rsid w:val="00EE5AAD"/>
    <w:rsid w:val="00EE5F79"/>
    <w:rsid w:val="00EE671D"/>
    <w:rsid w:val="00EE6E39"/>
    <w:rsid w:val="00EF0C39"/>
    <w:rsid w:val="00EF0DB9"/>
    <w:rsid w:val="00EF612C"/>
    <w:rsid w:val="00F00A10"/>
    <w:rsid w:val="00F01C6C"/>
    <w:rsid w:val="00F01C7D"/>
    <w:rsid w:val="00F025A2"/>
    <w:rsid w:val="00F036E9"/>
    <w:rsid w:val="00F043D1"/>
    <w:rsid w:val="00F05D07"/>
    <w:rsid w:val="00F06D4E"/>
    <w:rsid w:val="00F07388"/>
    <w:rsid w:val="00F07939"/>
    <w:rsid w:val="00F10703"/>
    <w:rsid w:val="00F12DE6"/>
    <w:rsid w:val="00F141DF"/>
    <w:rsid w:val="00F177BD"/>
    <w:rsid w:val="00F2026E"/>
    <w:rsid w:val="00F209BD"/>
    <w:rsid w:val="00F2210A"/>
    <w:rsid w:val="00F23E2E"/>
    <w:rsid w:val="00F247F6"/>
    <w:rsid w:val="00F25696"/>
    <w:rsid w:val="00F25CE3"/>
    <w:rsid w:val="00F26EB7"/>
    <w:rsid w:val="00F275A1"/>
    <w:rsid w:val="00F3039A"/>
    <w:rsid w:val="00F303CC"/>
    <w:rsid w:val="00F31372"/>
    <w:rsid w:val="00F341BE"/>
    <w:rsid w:val="00F3485F"/>
    <w:rsid w:val="00F34F8C"/>
    <w:rsid w:val="00F36DFC"/>
    <w:rsid w:val="00F37678"/>
    <w:rsid w:val="00F37743"/>
    <w:rsid w:val="00F40A33"/>
    <w:rsid w:val="00F41159"/>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3C6"/>
    <w:rsid w:val="00F71B89"/>
    <w:rsid w:val="00F72021"/>
    <w:rsid w:val="00F7353C"/>
    <w:rsid w:val="00F758D2"/>
    <w:rsid w:val="00F76F8F"/>
    <w:rsid w:val="00F77B35"/>
    <w:rsid w:val="00F77CC7"/>
    <w:rsid w:val="00F77EE4"/>
    <w:rsid w:val="00F8332A"/>
    <w:rsid w:val="00F83C4F"/>
    <w:rsid w:val="00F84D86"/>
    <w:rsid w:val="00F941DF"/>
    <w:rsid w:val="00F975E4"/>
    <w:rsid w:val="00FA1266"/>
    <w:rsid w:val="00FA2071"/>
    <w:rsid w:val="00FA3474"/>
    <w:rsid w:val="00FA3BA9"/>
    <w:rsid w:val="00FA44AE"/>
    <w:rsid w:val="00FA5E31"/>
    <w:rsid w:val="00FB0D7C"/>
    <w:rsid w:val="00FB22A3"/>
    <w:rsid w:val="00FB3074"/>
    <w:rsid w:val="00FB3656"/>
    <w:rsid w:val="00FB36FA"/>
    <w:rsid w:val="00FB3A4D"/>
    <w:rsid w:val="00FB5272"/>
    <w:rsid w:val="00FB6501"/>
    <w:rsid w:val="00FB6F30"/>
    <w:rsid w:val="00FC1192"/>
    <w:rsid w:val="00FC2F18"/>
    <w:rsid w:val="00FC371B"/>
    <w:rsid w:val="00FC3F63"/>
    <w:rsid w:val="00FC4291"/>
    <w:rsid w:val="00FC7E40"/>
    <w:rsid w:val="00FD0A57"/>
    <w:rsid w:val="00FD6EDB"/>
    <w:rsid w:val="00FD70B9"/>
    <w:rsid w:val="00FE106D"/>
    <w:rsid w:val="00FE1C0F"/>
    <w:rsid w:val="00FE251B"/>
    <w:rsid w:val="00FE520E"/>
    <w:rsid w:val="00FE6612"/>
    <w:rsid w:val="00FE68AA"/>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E3DCA-52C6-41EB-8AC8-B248278A4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2023-05-05T16:50:00Z</dcterms:created>
  <dcterms:modified xsi:type="dcterms:W3CDTF">2023-05-12T08:32:00Z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